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lineRule="atLeast" w:line="142" w:before="0" w:after="0"/>
        <w:jc w:val="left"/>
        <w:rPr>
          <w:bdr w:val="single" w:sz="2" w:space="1" w:color="000000"/>
        </w:rPr>
      </w:pPr>
      <w:bookmarkStart w:id="0" w:name="d127483d8k.htm"/>
      <w:bookmarkStart w:id="1" w:name="ksd127483d8k"/>
      <w:bookmarkEnd w:id="0"/>
      <w:bookmarkEnd w:id="1"/>
      <w:r>
        <w:rPr>
          <w:bdr w:val="single" w:sz="2" w:space="1" w:color="000000"/>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80" w:after="0"/>
        <w:jc w:val="center"/>
        <w:rPr>
          <w:rFonts w:ascii="Times New Roman" w:hAnsi="Times New Roman"/>
          <w:b/>
          <w:sz w:val="36"/>
        </w:rPr>
      </w:pPr>
      <w:r>
        <w:rPr>
          <w:rFonts w:ascii="Times New Roman" w:hAnsi="Times New Roman"/>
          <w:b/>
          <w:sz w:val="36"/>
        </w:rPr>
        <w:t>UNITED STATES</w:t>
      </w:r>
    </w:p>
    <w:p>
      <w:pPr>
        <w:pStyle w:val="TextBody"/>
        <w:bidi w:val="0"/>
        <w:spacing w:before="0" w:after="0"/>
        <w:jc w:val="center"/>
        <w:rPr>
          <w:rFonts w:ascii="Times New Roman" w:hAnsi="Times New Roman"/>
          <w:b/>
          <w:sz w:val="36"/>
        </w:rPr>
      </w:pPr>
      <w:r>
        <w:rPr>
          <w:rFonts w:ascii="Times New Roman" w:hAnsi="Times New Roman"/>
          <w:b/>
          <w:sz w:val="36"/>
        </w:rPr>
        <w:t>SECURITIES AND EXCHANGE COMMISSION</w:t>
      </w:r>
    </w:p>
    <w:p>
      <w:pPr>
        <w:pStyle w:val="TextBody"/>
        <w:bidi w:val="0"/>
        <w:spacing w:before="0" w:after="0"/>
        <w:jc w:val="center"/>
        <w:rPr>
          <w:rFonts w:ascii="Times New Roman" w:hAnsi="Times New Roman"/>
          <w:b/>
          <w:sz w:val="24"/>
        </w:rPr>
      </w:pPr>
      <w:r>
        <w:rPr>
          <w:rFonts w:ascii="Times New Roman" w:hAnsi="Times New Roman"/>
          <w:b/>
          <w:sz w:val="24"/>
        </w:rPr>
        <w:t>Washington, D.C. 20549</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00" w:after="0"/>
        <w:jc w:val="center"/>
        <w:rPr>
          <w:rFonts w:ascii="Times New Roman" w:hAnsi="Times New Roman"/>
          <w:b/>
          <w:sz w:val="36"/>
        </w:rPr>
      </w:pPr>
      <w:r>
        <w:rPr>
          <w:rFonts w:ascii="Times New Roman" w:hAnsi="Times New Roman"/>
          <w:b/>
          <w:sz w:val="36"/>
        </w:rPr>
        <w:t>FORM 8-K</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00" w:after="0"/>
        <w:jc w:val="center"/>
        <w:rPr>
          <w:rFonts w:ascii="Times New Roman" w:hAnsi="Times New Roman"/>
          <w:b/>
          <w:sz w:val="24"/>
        </w:rPr>
      </w:pPr>
      <w:r>
        <w:rPr>
          <w:rFonts w:ascii="Times New Roman" w:hAnsi="Times New Roman"/>
          <w:b/>
          <w:sz w:val="24"/>
        </w:rPr>
        <w:t>CURRENT REPORT</w:t>
      </w:r>
    </w:p>
    <w:p>
      <w:pPr>
        <w:pStyle w:val="TextBody"/>
        <w:bidi w:val="0"/>
        <w:spacing w:before="0" w:after="0"/>
        <w:jc w:val="center"/>
        <w:rPr>
          <w:rFonts w:ascii="Times New Roman" w:hAnsi="Times New Roman"/>
          <w:b/>
          <w:sz w:val="24"/>
        </w:rPr>
      </w:pPr>
      <w:r>
        <w:rPr>
          <w:rFonts w:ascii="Times New Roman" w:hAnsi="Times New Roman"/>
          <w:b/>
          <w:sz w:val="24"/>
        </w:rPr>
        <w:t>Pursuant to Section 13 or 15(d)</w:t>
      </w:r>
    </w:p>
    <w:p>
      <w:pPr>
        <w:pStyle w:val="TextBody"/>
        <w:bidi w:val="0"/>
        <w:spacing w:before="0" w:after="0"/>
        <w:jc w:val="center"/>
        <w:rPr>
          <w:rFonts w:ascii="Times New Roman" w:hAnsi="Times New Roman"/>
          <w:b/>
          <w:sz w:val="24"/>
        </w:rPr>
      </w:pPr>
      <w:r>
        <w:rPr>
          <w:rFonts w:ascii="Times New Roman" w:hAnsi="Times New Roman"/>
          <w:b/>
          <w:sz w:val="24"/>
        </w:rPr>
        <w:t>of the Securities Exchange Act of 1934</w:t>
      </w:r>
    </w:p>
    <w:p>
      <w:pPr>
        <w:pStyle w:val="TextBody"/>
        <w:bidi w:val="0"/>
        <w:spacing w:before="200" w:after="0"/>
        <w:jc w:val="center"/>
        <w:rPr>
          <w:rFonts w:ascii="Times New Roman" w:hAnsi="Times New Roman"/>
          <w:b/>
          <w:sz w:val="24"/>
        </w:rPr>
      </w:pPr>
      <w:r>
        <w:rPr>
          <w:rFonts w:ascii="Times New Roman" w:hAnsi="Times New Roman"/>
          <w:b/>
          <w:sz w:val="24"/>
        </w:rPr>
        <w:t>Date of Report (Date of earliest event reported): September 11, 2026</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00" w:after="0"/>
        <w:jc w:val="center"/>
        <w:rPr>
          <w:rFonts w:ascii="Times New Roman" w:hAnsi="Times New Roman"/>
          <w:b/>
          <w:sz w:val="48"/>
        </w:rPr>
      </w:pPr>
      <w:r>
        <w:rPr>
          <w:rFonts w:ascii="Times New Roman" w:hAnsi="Times New Roman"/>
          <w:b/>
          <w:sz w:val="48"/>
        </w:rPr>
        <w:t xml:space="preserve">Graco Inc. </w:t>
      </w:r>
    </w:p>
    <w:p>
      <w:pPr>
        <w:pStyle w:val="TextBody"/>
        <w:bidi w:val="0"/>
        <w:spacing w:before="0" w:after="0"/>
        <w:jc w:val="center"/>
        <w:rPr>
          <w:rFonts w:ascii="Times New Roman" w:hAnsi="Times New Roman"/>
          <w:b/>
          <w:sz w:val="20"/>
        </w:rPr>
      </w:pPr>
      <w:r>
        <w:rPr>
          <w:rFonts w:ascii="Times New Roman" w:hAnsi="Times New Roman"/>
          <w:b/>
          <w:sz w:val="20"/>
        </w:rPr>
        <w:t>(Exact name of registrant as specified in charter)</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0" w:after="0"/>
        <w:jc w:val="left"/>
        <w:rPr/>
      </w:pPr>
      <w:r>
        <w:rPr/>
        <w:t> </w:t>
      </w:r>
    </w:p>
    <w:tbl>
      <w:tblPr>
        <w:tblW w:w="5820" w:type="dxa"/>
        <w:jc w:val="left"/>
        <w:tblInd w:w="0" w:type="dxa"/>
        <w:tblLayout w:type="fixed"/>
        <w:tblCellMar>
          <w:top w:w="0" w:type="dxa"/>
          <w:left w:w="0" w:type="dxa"/>
          <w:bottom w:w="0" w:type="dxa"/>
          <w:right w:w="0" w:type="dxa"/>
        </w:tblCellMar>
      </w:tblPr>
      <w:tblGrid>
        <w:gridCol w:w="2765"/>
        <w:gridCol w:w="60"/>
        <w:gridCol w:w="1055"/>
        <w:gridCol w:w="60"/>
        <w:gridCol w:w="1880"/>
      </w:tblGrid>
      <w:tr>
        <w:trPr/>
        <w:tc>
          <w:tcPr>
            <w:tcW w:w="27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880" w:type="dxa"/>
            <w:tcBorders/>
            <w:vAlign w:val="center"/>
          </w:tcPr>
          <w:p>
            <w:pPr>
              <w:pStyle w:val="TableContents"/>
              <w:bidi w:val="0"/>
              <w:spacing w:before="0" w:after="283"/>
              <w:jc w:val="left"/>
              <w:rPr>
                <w:sz w:val="4"/>
                <w:szCs w:val="4"/>
              </w:rPr>
            </w:pPr>
            <w:r>
              <w:rPr>
                <w:sz w:val="4"/>
                <w:szCs w:val="4"/>
              </w:rPr>
            </w:r>
          </w:p>
        </w:tc>
      </w:tr>
      <w:tr>
        <w:trPr/>
        <w:tc>
          <w:tcPr>
            <w:tcW w:w="2765" w:type="dxa"/>
            <w:tcBorders/>
            <w:vAlign w:val="center"/>
          </w:tcPr>
          <w:p>
            <w:pPr>
              <w:pStyle w:val="TableContents"/>
              <w:bidi w:val="0"/>
              <w:spacing w:before="0" w:after="283"/>
              <w:jc w:val="center"/>
              <w:rPr>
                <w:b/>
              </w:rPr>
            </w:pPr>
            <w:r>
              <w:rPr>
                <w:b/>
              </w:rPr>
              <w:t>Minnesota</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center"/>
              <w:rPr>
                <w:b/>
              </w:rPr>
            </w:pPr>
            <w:r>
              <w:rPr>
                <w:b/>
              </w:rPr>
              <w:t>001-09249</w:t>
            </w:r>
          </w:p>
        </w:tc>
        <w:tc>
          <w:tcPr>
            <w:tcW w:w="60" w:type="dxa"/>
            <w:tcBorders/>
            <w:vAlign w:val="center"/>
          </w:tcPr>
          <w:p>
            <w:pPr>
              <w:pStyle w:val="TableContents"/>
              <w:bidi w:val="0"/>
              <w:spacing w:before="0" w:after="283"/>
              <w:jc w:val="left"/>
              <w:rPr/>
            </w:pPr>
            <w:r>
              <w:rPr/>
              <w:t> </w:t>
            </w:r>
          </w:p>
        </w:tc>
        <w:tc>
          <w:tcPr>
            <w:tcW w:w="1880" w:type="dxa"/>
            <w:tcBorders/>
            <w:vAlign w:val="center"/>
          </w:tcPr>
          <w:p>
            <w:pPr>
              <w:pStyle w:val="TableContents"/>
              <w:bidi w:val="0"/>
              <w:spacing w:before="0" w:after="283"/>
              <w:jc w:val="center"/>
              <w:rPr>
                <w:b/>
              </w:rPr>
            </w:pPr>
            <w:r>
              <w:rPr>
                <w:b/>
              </w:rPr>
              <w:t>41-0285640</w:t>
            </w:r>
          </w:p>
        </w:tc>
      </w:tr>
      <w:tr>
        <w:trPr/>
        <w:tc>
          <w:tcPr>
            <w:tcW w:w="2765" w:type="dxa"/>
            <w:tcBorders/>
            <w:vAlign w:val="center"/>
          </w:tcPr>
          <w:p>
            <w:pPr>
              <w:pStyle w:val="TableContents"/>
              <w:bidi w:val="0"/>
              <w:spacing w:before="0" w:after="283"/>
              <w:jc w:val="center"/>
              <w:rPr>
                <w:b/>
              </w:rPr>
            </w:pPr>
            <w:r>
              <w:rPr>
                <w:b/>
              </w:rPr>
              <w:t>(State or other Jurisdiction</w:t>
              <w:br/>
              <w:t>of Incorporation)</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(Commission</w:t>
            </w:r>
          </w:p>
          <w:p>
            <w:pPr>
              <w:pStyle w:val="TableContents"/>
              <w:bidi w:val="0"/>
              <w:spacing w:before="0" w:after="20"/>
              <w:jc w:val="center"/>
              <w:rPr>
                <w:rFonts w:ascii="Times New Roman" w:hAnsi="Times New Roman"/>
                <w:b/>
                <w:sz w:val="16"/>
              </w:rPr>
            </w:pPr>
            <w:r>
              <w:rPr>
                <w:rFonts w:ascii="Times New Roman" w:hAnsi="Times New Roman"/>
                <w:b/>
                <w:sz w:val="16"/>
              </w:rPr>
              <w:t>File Number)</w:t>
            </w:r>
          </w:p>
        </w:tc>
        <w:tc>
          <w:tcPr>
            <w:tcW w:w="60" w:type="dxa"/>
            <w:tcBorders/>
            <w:vAlign w:val="center"/>
          </w:tcPr>
          <w:p>
            <w:pPr>
              <w:pStyle w:val="TableContents"/>
              <w:bidi w:val="0"/>
              <w:spacing w:before="0" w:after="283"/>
              <w:jc w:val="left"/>
              <w:rPr/>
            </w:pPr>
            <w:r>
              <w:rPr/>
              <w:t> </w:t>
            </w:r>
          </w:p>
        </w:tc>
        <w:tc>
          <w:tcPr>
            <w:tcW w:w="1880" w:type="dxa"/>
            <w:tcBorders/>
            <w:vAlign w:val="center"/>
          </w:tcPr>
          <w:p>
            <w:pPr>
              <w:pStyle w:val="TableContents"/>
              <w:bidi w:val="0"/>
              <w:spacing w:before="0" w:after="283"/>
              <w:jc w:val="center"/>
              <w:rPr>
                <w:b/>
              </w:rPr>
            </w:pPr>
            <w:r>
              <w:rPr>
                <w:b/>
              </w:rPr>
              <w:t>(I.R.S. Employer</w:t>
              <w:br/>
              <w:t>Identification No.)</w:t>
            </w:r>
          </w:p>
        </w:tc>
      </w:tr>
    </w:tbl>
    <w:p>
      <w:pPr>
        <w:pStyle w:val="TextBody"/>
        <w:bidi w:val="0"/>
        <w:spacing w:before="0" w:after="0"/>
        <w:jc w:val="left"/>
        <w:rPr/>
      </w:pPr>
      <w:r>
        <w:rPr/>
        <w:t> </w:t>
      </w:r>
    </w:p>
    <w:tbl>
      <w:tblPr>
        <w:tblW w:w="5140" w:type="dxa"/>
        <w:jc w:val="left"/>
        <w:tblInd w:w="0" w:type="dxa"/>
        <w:tblLayout w:type="fixed"/>
        <w:tblCellMar>
          <w:top w:w="0" w:type="dxa"/>
          <w:left w:w="0" w:type="dxa"/>
          <w:bottom w:w="0" w:type="dxa"/>
          <w:right w:w="0" w:type="dxa"/>
        </w:tblCellMar>
      </w:tblPr>
      <w:tblGrid>
        <w:gridCol w:w="3935"/>
        <w:gridCol w:w="60"/>
        <w:gridCol w:w="1145"/>
      </w:tblGrid>
      <w:tr>
        <w:trPr/>
        <w:tc>
          <w:tcPr>
            <w:tcW w:w="393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45" w:type="dxa"/>
            <w:tcBorders/>
            <w:vAlign w:val="center"/>
          </w:tcPr>
          <w:p>
            <w:pPr>
              <w:pStyle w:val="TableContents"/>
              <w:bidi w:val="0"/>
              <w:spacing w:before="0" w:after="283"/>
              <w:jc w:val="left"/>
              <w:rPr>
                <w:sz w:val="4"/>
                <w:szCs w:val="4"/>
              </w:rPr>
            </w:pPr>
            <w:r>
              <w:rPr>
                <w:sz w:val="4"/>
                <w:szCs w:val="4"/>
              </w:rPr>
            </w:r>
          </w:p>
        </w:tc>
      </w:tr>
      <w:tr>
        <w:trPr/>
        <w:tc>
          <w:tcPr>
            <w:tcW w:w="3935" w:type="dxa"/>
            <w:tcBorders/>
            <w:vAlign w:val="center"/>
          </w:tcPr>
          <w:p>
            <w:pPr>
              <w:pStyle w:val="TableContents"/>
              <w:bidi w:val="0"/>
              <w:spacing w:before="0" w:after="283"/>
              <w:jc w:val="center"/>
              <w:rPr>
                <w:b/>
              </w:rPr>
            </w:pPr>
            <w:r>
              <w:rPr>
                <w:b/>
              </w:rPr>
              <w:t>88 - 11th Avenue Northeast</w:t>
            </w:r>
          </w:p>
        </w:tc>
        <w:tc>
          <w:tcPr>
            <w:tcW w:w="60"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left"/>
              <w:rPr>
                <w:sz w:val="4"/>
                <w:szCs w:val="4"/>
              </w:rPr>
            </w:pPr>
            <w:r>
              <w:rPr>
                <w:sz w:val="4"/>
                <w:szCs w:val="4"/>
              </w:rPr>
            </w:r>
          </w:p>
        </w:tc>
      </w:tr>
      <w:tr>
        <w:trPr/>
        <w:tc>
          <w:tcPr>
            <w:tcW w:w="3935" w:type="dxa"/>
            <w:tcBorders/>
            <w:vAlign w:val="center"/>
          </w:tcPr>
          <w:p>
            <w:pPr>
              <w:pStyle w:val="TableContents"/>
              <w:bidi w:val="0"/>
              <w:spacing w:before="0" w:after="283"/>
              <w:jc w:val="center"/>
              <w:rPr>
                <w:b/>
              </w:rPr>
            </w:pPr>
            <w:r>
              <w:rPr>
                <w:b/>
              </w:rPr>
              <w:t>Minneapolis, Minnesota</w:t>
            </w:r>
          </w:p>
        </w:tc>
        <w:tc>
          <w:tcPr>
            <w:tcW w:w="60"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center"/>
              <w:rPr>
                <w:b/>
              </w:rPr>
            </w:pPr>
            <w:r>
              <w:rPr>
                <w:b/>
              </w:rPr>
              <w:t>55413</w:t>
            </w:r>
          </w:p>
        </w:tc>
      </w:tr>
      <w:tr>
        <w:trPr/>
        <w:tc>
          <w:tcPr>
            <w:tcW w:w="3935" w:type="dxa"/>
            <w:tcBorders/>
            <w:vAlign w:val="center"/>
          </w:tcPr>
          <w:p>
            <w:pPr>
              <w:pStyle w:val="TableContents"/>
              <w:bidi w:val="0"/>
              <w:spacing w:before="0" w:after="283"/>
              <w:jc w:val="center"/>
              <w:rPr>
                <w:b/>
              </w:rPr>
            </w:pPr>
            <w:r>
              <w:rPr>
                <w:b/>
              </w:rPr>
              <w:t>(Address of principal executive offices)</w:t>
            </w:r>
          </w:p>
        </w:tc>
        <w:tc>
          <w:tcPr>
            <w:tcW w:w="60"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center"/>
              <w:rPr>
                <w:b/>
              </w:rPr>
            </w:pPr>
            <w:r>
              <w:rPr>
                <w:b/>
              </w:rPr>
              <w:t>(Zip Code)</w:t>
            </w:r>
          </w:p>
        </w:tc>
      </w:tr>
    </w:tbl>
    <w:p>
      <w:pPr>
        <w:pStyle w:val="TextBody"/>
        <w:bidi w:val="0"/>
        <w:spacing w:before="200" w:after="0"/>
        <w:jc w:val="center"/>
        <w:rPr>
          <w:rFonts w:ascii="Times New Roman" w:hAnsi="Times New Roman"/>
          <w:b/>
          <w:sz w:val="20"/>
        </w:rPr>
      </w:pPr>
      <w:r>
        <w:rPr>
          <w:rFonts w:ascii="Times New Roman" w:hAnsi="Times New Roman"/>
          <w:b/>
          <w:sz w:val="20"/>
        </w:rPr>
        <w:t>(612) 623-6000</w:t>
      </w:r>
    </w:p>
    <w:p>
      <w:pPr>
        <w:pStyle w:val="TextBody"/>
        <w:bidi w:val="0"/>
        <w:spacing w:before="0" w:after="0"/>
        <w:jc w:val="center"/>
        <w:rPr>
          <w:rFonts w:ascii="Times New Roman" w:hAnsi="Times New Roman"/>
          <w:b/>
          <w:sz w:val="16"/>
        </w:rPr>
      </w:pPr>
      <w:r>
        <w:rPr>
          <w:rFonts w:ascii="Times New Roman" w:hAnsi="Times New Roman"/>
          <w:b/>
          <w:sz w:val="16"/>
        </w:rPr>
        <w:t>Registrant’s telephone number, including area code</w:t>
      </w:r>
    </w:p>
    <w:p>
      <w:pPr>
        <w:pStyle w:val="TextBody"/>
        <w:bidi w:val="0"/>
        <w:spacing w:before="200" w:after="0"/>
        <w:jc w:val="center"/>
        <w:rPr>
          <w:rFonts w:ascii="Times New Roman" w:hAnsi="Times New Roman"/>
          <w:b/>
          <w:sz w:val="20"/>
        </w:rPr>
      </w:pPr>
      <w:r>
        <w:rPr>
          <w:rFonts w:ascii="Times New Roman" w:hAnsi="Times New Roman"/>
          <w:b/>
          <w:sz w:val="20"/>
        </w:rPr>
        <w:t>Not Applicable</w:t>
      </w:r>
    </w:p>
    <w:p>
      <w:pPr>
        <w:pStyle w:val="TextBody"/>
        <w:bidi w:val="0"/>
        <w:spacing w:before="0" w:after="0"/>
        <w:jc w:val="center"/>
        <w:rPr>
          <w:rFonts w:ascii="Times New Roman" w:hAnsi="Times New Roman"/>
          <w:b/>
          <w:sz w:val="16"/>
        </w:rPr>
      </w:pPr>
      <w:r>
        <w:rPr>
          <w:rFonts w:ascii="Times New Roman" w:hAnsi="Times New Roman"/>
          <w:b/>
          <w:sz w:val="16"/>
        </w:rPr>
        <w:t>(Former name or former address if changed since last report.)</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00" w:after="0"/>
        <w:jc w:val="left"/>
        <w:rPr>
          <w:rFonts w:ascii="Times New Roman" w:hAnsi="Times New Roman"/>
          <w:sz w:val="20"/>
        </w:rPr>
      </w:pPr>
      <w:r>
        <w:rPr>
          <w:rFonts w:ascii="Times New Roman" w:hAnsi="Times New Roman"/>
          <w:sz w:val="20"/>
        </w:rPr>
        <w:t>Check the appropriate box below if the Form 8-K filing is intended to simultaneously satisfy the filing obligation of the registrant under any of the following provisions:</w:t>
      </w:r>
    </w:p>
    <w:p>
      <w:pPr>
        <w:pStyle w:val="TextBody"/>
        <w:bidi w:val="0"/>
        <w:spacing w:before="0" w:after="0"/>
        <w:jc w:val="left"/>
        <w:rPr/>
      </w:pPr>
      <w:r>
        <w:rPr/>
        <w:t> </w:t>
      </w:r>
    </w:p>
    <w:tbl>
      <w:tblPr>
        <w:tblW w:w="7540" w:type="dxa"/>
        <w:jc w:val="left"/>
        <w:tblInd w:w="0" w:type="dxa"/>
        <w:tblLayout w:type="fixed"/>
        <w:tblCellMar>
          <w:top w:w="0" w:type="dxa"/>
          <w:left w:w="0" w:type="dxa"/>
          <w:bottom w:w="0" w:type="dxa"/>
          <w:right w:w="0" w:type="dxa"/>
        </w:tblCellMar>
      </w:tblPr>
      <w:tblGrid>
        <w:gridCol w:w="245"/>
        <w:gridCol w:w="7295"/>
      </w:tblGrid>
      <w:tr>
        <w:trPr/>
        <w:tc>
          <w:tcPr>
            <w:tcW w:w="245" w:type="dxa"/>
            <w:tcBorders/>
            <w:vAlign w:val="center"/>
          </w:tcPr>
          <w:p>
            <w:pPr>
              <w:pStyle w:val="TableContents"/>
              <w:bidi w:val="0"/>
              <w:spacing w:before="0" w:after="283"/>
              <w:jc w:val="left"/>
              <w:rPr/>
            </w:pPr>
            <w:r>
              <w:rPr/>
              <w:t>☐</w:t>
            </w:r>
          </w:p>
        </w:tc>
        <w:tc>
          <w:tcPr>
            <w:tcW w:w="72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Written communications pursuant to Rule 425 under the Securities Act (17 CFR 230.425)</w:t>
            </w:r>
          </w:p>
        </w:tc>
      </w:tr>
    </w:tbl>
    <w:p>
      <w:pPr>
        <w:pStyle w:val="TextBody"/>
        <w:bidi w:val="0"/>
        <w:spacing w:before="0" w:after="0"/>
        <w:jc w:val="left"/>
        <w:rPr/>
      </w:pPr>
      <w:r>
        <w:rPr/>
        <w:t> </w:t>
      </w:r>
    </w:p>
    <w:tbl>
      <w:tblPr>
        <w:tblW w:w="7570" w:type="dxa"/>
        <w:jc w:val="left"/>
        <w:tblInd w:w="0" w:type="dxa"/>
        <w:tblLayout w:type="fixed"/>
        <w:tblCellMar>
          <w:top w:w="0" w:type="dxa"/>
          <w:left w:w="0" w:type="dxa"/>
          <w:bottom w:w="0" w:type="dxa"/>
          <w:right w:w="0" w:type="dxa"/>
        </w:tblCellMar>
      </w:tblPr>
      <w:tblGrid>
        <w:gridCol w:w="245"/>
        <w:gridCol w:w="7325"/>
      </w:tblGrid>
      <w:tr>
        <w:trPr/>
        <w:tc>
          <w:tcPr>
            <w:tcW w:w="245" w:type="dxa"/>
            <w:tcBorders/>
            <w:vAlign w:val="center"/>
          </w:tcPr>
          <w:p>
            <w:pPr>
              <w:pStyle w:val="TableContents"/>
              <w:bidi w:val="0"/>
              <w:spacing w:before="0" w:after="283"/>
              <w:jc w:val="left"/>
              <w:rPr/>
            </w:pPr>
            <w:r>
              <w:rPr/>
              <w:t>☐</w:t>
            </w:r>
          </w:p>
        </w:tc>
        <w:tc>
          <w:tcPr>
            <w:tcW w:w="73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Soliciting material pursuant to Rule 14a-12 under the Exchange Act (17 CFR 240.14a-12)</w:t>
            </w:r>
          </w:p>
        </w:tc>
      </w:tr>
    </w:tbl>
    <w:p>
      <w:pPr>
        <w:pStyle w:val="TextBody"/>
        <w:bidi w:val="0"/>
        <w:spacing w:before="0" w:after="0"/>
        <w:jc w:val="left"/>
        <w:rPr/>
      </w:pPr>
      <w:r>
        <w:rPr/>
        <w:t> </w:t>
      </w:r>
    </w:p>
    <w:tbl>
      <w:tblPr>
        <w:tblW w:w="9310" w:type="dxa"/>
        <w:jc w:val="left"/>
        <w:tblInd w:w="0" w:type="dxa"/>
        <w:tblLayout w:type="fixed"/>
        <w:tblCellMar>
          <w:top w:w="0" w:type="dxa"/>
          <w:left w:w="0" w:type="dxa"/>
          <w:bottom w:w="0" w:type="dxa"/>
          <w:right w:w="0" w:type="dxa"/>
        </w:tblCellMar>
      </w:tblPr>
      <w:tblGrid>
        <w:gridCol w:w="245"/>
        <w:gridCol w:w="9065"/>
      </w:tblGrid>
      <w:tr>
        <w:trPr/>
        <w:tc>
          <w:tcPr>
            <w:tcW w:w="245" w:type="dxa"/>
            <w:tcBorders/>
            <w:vAlign w:val="center"/>
          </w:tcPr>
          <w:p>
            <w:pPr>
              <w:pStyle w:val="TableContents"/>
              <w:bidi w:val="0"/>
              <w:spacing w:before="0" w:after="283"/>
              <w:jc w:val="left"/>
              <w:rPr/>
            </w:pPr>
            <w:r>
              <w:rPr/>
              <w:t>☐</w:t>
            </w:r>
          </w:p>
        </w:tc>
        <w:tc>
          <w:tcPr>
            <w:tcW w:w="90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Pre-commencement communications pursuant to Rule 14d-2(b) under the Exchange Act (17 CFR 240.14d-2(b))</w:t>
            </w:r>
          </w:p>
        </w:tc>
      </w:tr>
    </w:tbl>
    <w:p>
      <w:pPr>
        <w:pStyle w:val="TextBody"/>
        <w:bidi w:val="0"/>
        <w:spacing w:before="0" w:after="0"/>
        <w:jc w:val="left"/>
        <w:rPr/>
      </w:pPr>
      <w:r>
        <w:rPr/>
        <w:t> </w:t>
      </w:r>
    </w:p>
    <w:tbl>
      <w:tblPr>
        <w:tblW w:w="9250" w:type="dxa"/>
        <w:jc w:val="left"/>
        <w:tblInd w:w="0" w:type="dxa"/>
        <w:tblLayout w:type="fixed"/>
        <w:tblCellMar>
          <w:top w:w="0" w:type="dxa"/>
          <w:left w:w="0" w:type="dxa"/>
          <w:bottom w:w="0" w:type="dxa"/>
          <w:right w:w="0" w:type="dxa"/>
        </w:tblCellMar>
      </w:tblPr>
      <w:tblGrid>
        <w:gridCol w:w="245"/>
        <w:gridCol w:w="9005"/>
      </w:tblGrid>
      <w:tr>
        <w:trPr/>
        <w:tc>
          <w:tcPr>
            <w:tcW w:w="245" w:type="dxa"/>
            <w:tcBorders/>
            <w:vAlign w:val="center"/>
          </w:tcPr>
          <w:p>
            <w:pPr>
              <w:pStyle w:val="TableContents"/>
              <w:bidi w:val="0"/>
              <w:spacing w:before="0" w:after="283"/>
              <w:jc w:val="left"/>
              <w:rPr/>
            </w:pPr>
            <w:r>
              <w:rPr/>
              <w:t>☐</w:t>
            </w:r>
          </w:p>
        </w:tc>
        <w:tc>
          <w:tcPr>
            <w:tcW w:w="900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Pre-commencement communications pursuant to Rule 13e-4(c) under the Exchange Act (17 CFR 240.13e-4(c))</w:t>
            </w:r>
          </w:p>
        </w:tc>
      </w:tr>
    </w:tbl>
    <w:p>
      <w:pPr>
        <w:pStyle w:val="TextBody"/>
        <w:bidi w:val="0"/>
        <w:spacing w:before="200" w:after="0"/>
        <w:jc w:val="left"/>
        <w:rPr>
          <w:rFonts w:ascii="Times New Roman" w:hAnsi="Times New Roman"/>
          <w:sz w:val="20"/>
        </w:rPr>
      </w:pPr>
      <w:r>
        <w:rPr>
          <w:rFonts w:ascii="Times New Roman" w:hAnsi="Times New Roman"/>
          <w:sz w:val="20"/>
        </w:rPr>
        <w:t>Securities registered pursuant to Section 12(b) of the Act:</w:t>
      </w:r>
    </w:p>
    <w:p>
      <w:pPr>
        <w:pStyle w:val="TextBody"/>
        <w:bidi w:val="0"/>
        <w:spacing w:before="0" w:after="0"/>
        <w:jc w:val="left"/>
        <w:rPr/>
      </w:pPr>
      <w:r>
        <w:rPr/>
        <w:t> </w:t>
      </w:r>
    </w:p>
    <w:tbl>
      <w:tblPr>
        <w:tblW w:w="5475" w:type="dxa"/>
        <w:jc w:val="left"/>
        <w:tblInd w:w="0" w:type="dxa"/>
        <w:tblLayout w:type="fixed"/>
        <w:tblCellMar>
          <w:top w:w="0" w:type="dxa"/>
          <w:left w:w="0" w:type="dxa"/>
          <w:bottom w:w="0" w:type="dxa"/>
          <w:right w:w="0" w:type="dxa"/>
        </w:tblCellMar>
      </w:tblPr>
      <w:tblGrid>
        <w:gridCol w:w="1520"/>
        <w:gridCol w:w="60"/>
        <w:gridCol w:w="740"/>
        <w:gridCol w:w="60"/>
        <w:gridCol w:w="3095"/>
      </w:tblGrid>
      <w:tr>
        <w:trPr/>
        <w:tc>
          <w:tcPr>
            <w:tcW w:w="15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095" w:type="dxa"/>
            <w:tcBorders/>
            <w:vAlign w:val="center"/>
          </w:tcPr>
          <w:p>
            <w:pPr>
              <w:pStyle w:val="TableContents"/>
              <w:bidi w:val="0"/>
              <w:spacing w:before="0" w:after="283"/>
              <w:jc w:val="left"/>
              <w:rPr>
                <w:sz w:val="4"/>
                <w:szCs w:val="4"/>
              </w:rPr>
            </w:pPr>
            <w:r>
              <w:rPr>
                <w:sz w:val="4"/>
                <w:szCs w:val="4"/>
              </w:rPr>
            </w:r>
          </w:p>
        </w:tc>
      </w:tr>
      <w:tr>
        <w:trPr/>
        <w:tc>
          <w:tcPr>
            <w:tcW w:w="1520"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Title of each class</w:t>
            </w:r>
          </w:p>
        </w:tc>
        <w:tc>
          <w:tcPr>
            <w:tcW w:w="60" w:type="dxa"/>
            <w:tcBorders/>
            <w:vAlign w:val="center"/>
          </w:tcPr>
          <w:p>
            <w:pPr>
              <w:pStyle w:val="TableContents"/>
              <w:bidi w:val="0"/>
              <w:spacing w:before="0" w:after="283"/>
              <w:jc w:val="left"/>
              <w:rPr/>
            </w:pPr>
            <w:r>
              <w:rPr/>
              <w:t> </w:t>
            </w:r>
          </w:p>
        </w:tc>
        <w:tc>
          <w:tcPr>
            <w:tcW w:w="740"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Trading</w:t>
              <w:br/>
              <w:t>Symbol(s)</w:t>
            </w:r>
          </w:p>
        </w:tc>
        <w:tc>
          <w:tcPr>
            <w:tcW w:w="60" w:type="dxa"/>
            <w:tcBorders/>
            <w:vAlign w:val="center"/>
          </w:tcPr>
          <w:p>
            <w:pPr>
              <w:pStyle w:val="TableContents"/>
              <w:bidi w:val="0"/>
              <w:spacing w:before="0" w:after="283"/>
              <w:jc w:val="left"/>
              <w:rPr/>
            </w:pPr>
            <w:r>
              <w:rPr/>
              <w:t> </w:t>
            </w:r>
          </w:p>
        </w:tc>
        <w:tc>
          <w:tcPr>
            <w:tcW w:w="3095"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Name of each exchange</w:t>
              <w:br/>
              <w:t>on which registered</w:t>
            </w:r>
          </w:p>
        </w:tc>
      </w:tr>
      <w:tr>
        <w:trPr/>
        <w:tc>
          <w:tcPr>
            <w:tcW w:w="1520" w:type="dxa"/>
            <w:tcBorders/>
            <w:vAlign w:val="center"/>
          </w:tcPr>
          <w:p>
            <w:pPr>
              <w:pStyle w:val="TableContents"/>
              <w:bidi w:val="0"/>
              <w:spacing w:before="0" w:after="283"/>
              <w:jc w:val="center"/>
              <w:rPr/>
            </w:pPr>
            <w:r>
              <w:rPr/>
              <w:t>Common Stock</w:t>
            </w:r>
          </w:p>
        </w:tc>
        <w:tc>
          <w:tcPr>
            <w:tcW w:w="60" w:type="dxa"/>
            <w:tcBorders/>
            <w:vAlign w:val="center"/>
          </w:tcPr>
          <w:p>
            <w:pPr>
              <w:pStyle w:val="TableContents"/>
              <w:bidi w:val="0"/>
              <w:spacing w:before="0" w:after="283"/>
              <w:jc w:val="left"/>
              <w:rPr/>
            </w:pPr>
            <w:r>
              <w:rPr/>
              <w:t> </w:t>
            </w:r>
          </w:p>
        </w:tc>
        <w:tc>
          <w:tcPr>
            <w:tcW w:w="740" w:type="dxa"/>
            <w:tcBorders/>
            <w:vAlign w:val="center"/>
          </w:tcPr>
          <w:p>
            <w:pPr>
              <w:pStyle w:val="TableContents"/>
              <w:bidi w:val="0"/>
              <w:spacing w:before="0" w:after="283"/>
              <w:jc w:val="center"/>
              <w:rPr/>
            </w:pPr>
            <w:r>
              <w:rPr/>
              <w:t>GGG</w:t>
            </w:r>
          </w:p>
        </w:tc>
        <w:tc>
          <w:tcPr>
            <w:tcW w:w="60" w:type="dxa"/>
            <w:tcBorders/>
            <w:vAlign w:val="center"/>
          </w:tcPr>
          <w:p>
            <w:pPr>
              <w:pStyle w:val="TableContents"/>
              <w:bidi w:val="0"/>
              <w:spacing w:before="0" w:after="283"/>
              <w:jc w:val="left"/>
              <w:rPr/>
            </w:pPr>
            <w:r>
              <w:rPr/>
              <w:t> </w:t>
            </w:r>
          </w:p>
        </w:tc>
        <w:tc>
          <w:tcPr>
            <w:tcW w:w="3095" w:type="dxa"/>
            <w:tcBorders/>
            <w:vAlign w:val="center"/>
          </w:tcPr>
          <w:p>
            <w:pPr>
              <w:pStyle w:val="TableContents"/>
              <w:bidi w:val="0"/>
              <w:spacing w:before="0" w:after="283"/>
              <w:jc w:val="center"/>
              <w:rPr/>
            </w:pPr>
            <w:r>
              <w:rPr/>
              <w:t>The New York Stock Exchange</w:t>
            </w:r>
          </w:p>
        </w:tc>
      </w:tr>
    </w:tbl>
    <w:p>
      <w:pPr>
        <w:pStyle w:val="TextBody"/>
        <w:bidi w:val="0"/>
        <w:spacing w:before="200" w:after="0"/>
        <w:jc w:val="left"/>
        <w:rPr>
          <w:rFonts w:ascii="Times New Roman" w:hAnsi="Times New Roman"/>
          <w:sz w:val="20"/>
        </w:rPr>
      </w:pPr>
      <w:r>
        <w:rPr>
          <w:rFonts w:ascii="Times New Roman" w:hAnsi="Times New Roman"/>
          <w:sz w:val="20"/>
        </w:rPr>
        <w:t>Indicate by check mark whether the registrant is an emerging growth company as defined in Rule 405 of the Securities Act of 1933 (§230.405 of this chapter) or Rule 12b-2 of the Securities Exchange Act of 1934 (§240.12b-2 of this chapter). Emerging growth company ☐</w:t>
      </w:r>
    </w:p>
    <w:p>
      <w:pPr>
        <w:pStyle w:val="TextBody"/>
        <w:bidi w:val="0"/>
        <w:spacing w:before="200" w:after="0"/>
        <w:jc w:val="left"/>
        <w:rPr>
          <w:rFonts w:ascii="Times New Roman" w:hAnsi="Times New Roman"/>
          <w:sz w:val="20"/>
        </w:rPr>
      </w:pPr>
      <w:r>
        <w:rPr>
          <w:rFonts w:ascii="Times New Roman" w:hAnsi="Times New Roman"/>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w:t>
      </w:r>
    </w:p>
    <w:p>
      <w:pPr>
        <w:pStyle w:val="TextBody"/>
        <w:bidi w:val="0"/>
        <w:spacing w:lineRule="atLeast" w:line="142" w:before="0" w:after="40"/>
        <w:jc w:val="left"/>
        <w:rPr>
          <w:bdr w:val="single" w:sz="2" w:space="1" w:color="000000"/>
        </w:rPr>
      </w:pPr>
      <w:r>
        <w:rPr>
          <w:bdr w:val="single" w:sz="2" w:space="1" w:color="000000"/>
        </w:rPr>
        <w:t> </w:t>
      </w:r>
      <w:r>
        <w:br w:type="page"/>
      </w:r>
    </w:p>
    <w:p>
      <w:pPr>
        <w:pStyle w:val="HorizontalLine"/>
        <w:bidi w:val="0"/>
        <w:jc w:val="left"/>
        <w:rPr/>
      </w:pPr>
      <w:r>
        <w:rPr/>
      </w:r>
    </w:p>
    <w:tbl>
      <w:tblPr>
        <w:tblW w:w="10205" w:type="dxa"/>
        <w:jc w:val="left"/>
        <w:tblInd w:w="0" w:type="dxa"/>
        <w:tblLayout w:type="fixed"/>
        <w:tblCellMar>
          <w:top w:w="0" w:type="dxa"/>
          <w:left w:w="0" w:type="dxa"/>
          <w:bottom w:w="0" w:type="dxa"/>
          <w:right w:w="0" w:type="dxa"/>
        </w:tblCellMar>
      </w:tblPr>
      <w:tblGrid>
        <w:gridCol w:w="886"/>
        <w:gridCol w:w="9319"/>
      </w:tblGrid>
      <w:tr>
        <w:trPr/>
        <w:tc>
          <w:tcPr>
            <w:tcW w:w="886" w:type="dxa"/>
            <w:tcBorders/>
            <w:vAlign w:val="center"/>
          </w:tcPr>
          <w:p>
            <w:pPr>
              <w:pStyle w:val="TableContents"/>
              <w:bidi w:val="0"/>
              <w:spacing w:before="0" w:after="283"/>
              <w:jc w:val="left"/>
              <w:rPr>
                <w:b/>
              </w:rPr>
            </w:pPr>
            <w:r>
              <w:rPr>
                <w:b/>
              </w:rPr>
              <w:t>Item 5.02.</w:t>
            </w:r>
          </w:p>
        </w:tc>
        <w:tc>
          <w:tcPr>
            <w:tcW w:w="9319"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Departure of Directors or Certain Officers; Election of Directors; Appointment of Certain Officers; Compensatory Arrangements of Certain Officers. </w:t>
            </w:r>
          </w:p>
        </w:tc>
      </w:tr>
    </w:tbl>
    <w:p>
      <w:pPr>
        <w:pStyle w:val="TextBody"/>
        <w:bidi w:val="0"/>
        <w:spacing w:before="120" w:after="0"/>
        <w:jc w:val="left"/>
        <w:rPr>
          <w:rFonts w:ascii="Times New Roman" w:hAnsi="Times New Roman"/>
          <w:sz w:val="20"/>
        </w:rPr>
      </w:pPr>
      <w:r>
        <w:rPr>
          <w:rFonts w:ascii="Times New Roman" w:hAnsi="Times New Roman"/>
          <w:sz w:val="20"/>
        </w:rPr>
        <w:t xml:space="preserve">On September 11, 2026, the Board of Directors (the “Board”) of Graco Inc. (the “Company”) appointed Mr. Richard B. Lewis to serve as a director of the Company, effective December 3, 2026. Mr. Lewis was appointed to the class of directors whose terms expire at the 2027 annual meeting of shareholders of the Company. </w:t>
      </w:r>
    </w:p>
    <w:p>
      <w:pPr>
        <w:pStyle w:val="TextBody"/>
        <w:bidi w:val="0"/>
        <w:spacing w:before="240" w:after="0"/>
        <w:jc w:val="left"/>
        <w:rPr>
          <w:rFonts w:ascii="Times New Roman" w:hAnsi="Times New Roman"/>
          <w:sz w:val="20"/>
        </w:rPr>
      </w:pPr>
      <w:r>
        <w:rPr>
          <w:rFonts w:ascii="Times New Roman" w:hAnsi="Times New Roman"/>
          <w:sz w:val="20"/>
        </w:rPr>
        <w:t xml:space="preserve">Mr. Lewis has been appointed to serve on the Board’s Audit Committee, effective December 3, 2026. In connection with his appointment, Mr. Lewis will be receiving the standard director compensation as referenced in our Proxy Statement for the 2026 Annual Meeting. </w:t>
      </w:r>
    </w:p>
    <w:p>
      <w:pPr>
        <w:pStyle w:val="TextBody"/>
        <w:bidi w:val="0"/>
        <w:spacing w:before="0" w:after="0"/>
        <w:jc w:val="left"/>
        <w:rPr/>
      </w:pPr>
      <w:r>
        <w:rPr/>
        <w:t> </w:t>
      </w:r>
    </w:p>
    <w:tbl>
      <w:tblPr>
        <w:tblW w:w="4030" w:type="dxa"/>
        <w:jc w:val="left"/>
        <w:tblInd w:w="0" w:type="dxa"/>
        <w:tblLayout w:type="fixed"/>
        <w:tblCellMar>
          <w:top w:w="0" w:type="dxa"/>
          <w:left w:w="0" w:type="dxa"/>
          <w:bottom w:w="0" w:type="dxa"/>
          <w:right w:w="0" w:type="dxa"/>
        </w:tblCellMar>
      </w:tblPr>
      <w:tblGrid>
        <w:gridCol w:w="1025"/>
        <w:gridCol w:w="3005"/>
      </w:tblGrid>
      <w:tr>
        <w:trPr/>
        <w:tc>
          <w:tcPr>
            <w:tcW w:w="1025" w:type="dxa"/>
            <w:tcBorders/>
            <w:vAlign w:val="center"/>
          </w:tcPr>
          <w:p>
            <w:pPr>
              <w:pStyle w:val="TableContents"/>
              <w:bidi w:val="0"/>
              <w:spacing w:before="0" w:after="283"/>
              <w:jc w:val="left"/>
              <w:rPr>
                <w:b/>
              </w:rPr>
            </w:pPr>
            <w:r>
              <w:rPr>
                <w:b/>
              </w:rPr>
              <w:t>Item 9.01.</w:t>
            </w:r>
          </w:p>
        </w:tc>
        <w:tc>
          <w:tcPr>
            <w:tcW w:w="300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Financial Statements and Exhibits. </w:t>
            </w:r>
          </w:p>
        </w:tc>
      </w:tr>
    </w:tbl>
    <w:p>
      <w:pPr>
        <w:pStyle w:val="TextBody"/>
        <w:bidi w:val="0"/>
        <w:spacing w:before="0" w:after="0"/>
        <w:jc w:val="left"/>
        <w:rPr/>
      </w:pPr>
      <w:r>
        <w:rPr/>
        <w:t> </w:t>
      </w:r>
    </w:p>
    <w:tbl>
      <w:tblPr>
        <w:tblW w:w="8095" w:type="dxa"/>
        <w:jc w:val="left"/>
        <w:tblInd w:w="0" w:type="dxa"/>
        <w:tblLayout w:type="fixed"/>
        <w:tblCellMar>
          <w:top w:w="0" w:type="dxa"/>
          <w:left w:w="0" w:type="dxa"/>
          <w:bottom w:w="0" w:type="dxa"/>
          <w:right w:w="0" w:type="dxa"/>
        </w:tblCellMar>
      </w:tblPr>
      <w:tblGrid>
        <w:gridCol w:w="455"/>
        <w:gridCol w:w="120"/>
        <w:gridCol w:w="7520"/>
      </w:tblGrid>
      <w:tr>
        <w:trPr/>
        <w:tc>
          <w:tcPr>
            <w:tcW w:w="4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7520" w:type="dxa"/>
            <w:tcBorders/>
            <w:vAlign w:val="center"/>
          </w:tcPr>
          <w:p>
            <w:pPr>
              <w:pStyle w:val="TableContents"/>
              <w:bidi w:val="0"/>
              <w:spacing w:before="0" w:after="283"/>
              <w:jc w:val="left"/>
              <w:rPr>
                <w:sz w:val="4"/>
                <w:szCs w:val="4"/>
              </w:rPr>
            </w:pPr>
            <w:r>
              <w:rPr>
                <w:sz w:val="4"/>
                <w:szCs w:val="4"/>
              </w:rPr>
            </w:r>
          </w:p>
        </w:tc>
      </w:tr>
      <w:tr>
        <w:trPr/>
        <w:tc>
          <w:tcPr>
            <w:tcW w:w="455" w:type="dxa"/>
            <w:tcBorders/>
            <w:vAlign w:val="center"/>
          </w:tcPr>
          <w:p>
            <w:pPr>
              <w:pStyle w:val="TableContents"/>
              <w:bidi w:val="0"/>
              <w:spacing w:before="0" w:after="283"/>
              <w:jc w:val="left"/>
              <w:rPr/>
            </w:pPr>
            <w:r>
              <w:rPr/>
              <w:t>(d)</w:t>
            </w:r>
          </w:p>
        </w:tc>
        <w:tc>
          <w:tcPr>
            <w:tcW w:w="120" w:type="dxa"/>
            <w:tcBorders/>
            <w:vAlign w:val="center"/>
          </w:tcPr>
          <w:p>
            <w:pPr>
              <w:pStyle w:val="TableContents"/>
              <w:bidi w:val="0"/>
              <w:spacing w:before="0" w:after="283"/>
              <w:jc w:val="left"/>
              <w:rPr/>
            </w:pPr>
            <w:r>
              <w:rPr/>
              <w:t>  </w:t>
            </w:r>
          </w:p>
        </w:tc>
        <w:tc>
          <w:tcPr>
            <w:tcW w:w="7520" w:type="dxa"/>
            <w:tcBorders/>
            <w:vAlign w:val="center"/>
          </w:tcPr>
          <w:p>
            <w:pPr>
              <w:pStyle w:val="TableContents"/>
              <w:bidi w:val="0"/>
              <w:spacing w:before="0" w:after="283"/>
              <w:jc w:val="left"/>
              <w:rPr/>
            </w:pPr>
            <w:r>
              <w:rPr/>
              <w:t>Exhibits</w:t>
            </w:r>
          </w:p>
        </w:tc>
      </w:tr>
      <w:tr>
        <w:trPr/>
        <w:tc>
          <w:tcPr>
            <w:tcW w:w="455" w:type="dxa"/>
            <w:tcBorders/>
            <w:vAlign w:val="center"/>
          </w:tcPr>
          <w:p>
            <w:pPr>
              <w:pStyle w:val="TableContents"/>
              <w:bidi w:val="0"/>
              <w:spacing w:before="0" w:after="283"/>
              <w:jc w:val="left"/>
              <w:rPr>
                <w:sz w:val="4"/>
                <w:szCs w:val="4"/>
              </w:rPr>
            </w:pPr>
            <w:r>
              <w:rPr>
                <w:sz w:val="4"/>
                <w:szCs w:val="4"/>
              </w:rPr>
            </w:r>
          </w:p>
        </w:tc>
        <w:tc>
          <w:tcPr>
            <w:tcW w:w="7640" w:type="dxa"/>
            <w:gridSpan w:val="2"/>
            <w:tcBorders/>
            <w:vAlign w:val="center"/>
          </w:tcPr>
          <w:p>
            <w:pPr>
              <w:pStyle w:val="TableContents"/>
              <w:bidi w:val="0"/>
              <w:spacing w:before="0" w:after="283"/>
              <w:jc w:val="left"/>
              <w:rPr>
                <w:sz w:val="4"/>
                <w:szCs w:val="4"/>
              </w:rPr>
            </w:pPr>
            <w:r>
              <w:rPr>
                <w:sz w:val="4"/>
                <w:szCs w:val="4"/>
              </w:rPr>
            </w:r>
          </w:p>
        </w:tc>
      </w:tr>
      <w:tr>
        <w:trPr/>
        <w:tc>
          <w:tcPr>
            <w:tcW w:w="455" w:type="dxa"/>
            <w:tcBorders/>
            <w:vAlign w:val="center"/>
          </w:tcPr>
          <w:p>
            <w:pPr>
              <w:pStyle w:val="TableContents"/>
              <w:bidi w:val="0"/>
              <w:spacing w:before="0" w:after="283"/>
              <w:jc w:val="left"/>
              <w:rPr/>
            </w:pPr>
            <w:r>
              <w:rPr/>
              <w:t>99.1</w:t>
            </w:r>
          </w:p>
        </w:tc>
        <w:tc>
          <w:tcPr>
            <w:tcW w:w="120" w:type="dxa"/>
            <w:tcBorders/>
            <w:vAlign w:val="center"/>
          </w:tcPr>
          <w:p>
            <w:pPr>
              <w:pStyle w:val="TableContents"/>
              <w:bidi w:val="0"/>
              <w:spacing w:before="0" w:after="283"/>
              <w:jc w:val="left"/>
              <w:rPr/>
            </w:pPr>
            <w:r>
              <w:rPr/>
              <w:t>  </w:t>
            </w:r>
          </w:p>
        </w:tc>
        <w:tc>
          <w:tcPr>
            <w:tcW w:w="7520" w:type="dxa"/>
            <w:tcBorders/>
            <w:vAlign w:val="center"/>
          </w:tcPr>
          <w:p>
            <w:pPr>
              <w:pStyle w:val="TableContents"/>
              <w:bidi w:val="0"/>
              <w:spacing w:before="0" w:after="283"/>
              <w:jc w:val="left"/>
              <w:rPr/>
            </w:pPr>
            <w:hyperlink w:anchor="d127483dex991.htm">
              <w:r>
                <w:rPr>
                  <w:rStyle w:val="InternetLink"/>
                </w:rPr>
                <w:t>Press Release dated September 11, 2026.</w:t>
              </w:r>
            </w:hyperlink>
          </w:p>
        </w:tc>
      </w:tr>
      <w:tr>
        <w:trPr/>
        <w:tc>
          <w:tcPr>
            <w:tcW w:w="455" w:type="dxa"/>
            <w:tcBorders/>
            <w:vAlign w:val="center"/>
          </w:tcPr>
          <w:p>
            <w:pPr>
              <w:pStyle w:val="TableContents"/>
              <w:bidi w:val="0"/>
              <w:spacing w:before="0" w:after="283"/>
              <w:jc w:val="left"/>
              <w:rPr>
                <w:sz w:val="4"/>
                <w:szCs w:val="4"/>
              </w:rPr>
            </w:pPr>
            <w:r>
              <w:rPr>
                <w:sz w:val="4"/>
                <w:szCs w:val="4"/>
              </w:rPr>
            </w:r>
          </w:p>
        </w:tc>
        <w:tc>
          <w:tcPr>
            <w:tcW w:w="7640" w:type="dxa"/>
            <w:gridSpan w:val="2"/>
            <w:tcBorders/>
            <w:vAlign w:val="center"/>
          </w:tcPr>
          <w:p>
            <w:pPr>
              <w:pStyle w:val="TableContents"/>
              <w:bidi w:val="0"/>
              <w:spacing w:before="0" w:after="283"/>
              <w:jc w:val="left"/>
              <w:rPr>
                <w:sz w:val="4"/>
                <w:szCs w:val="4"/>
              </w:rPr>
            </w:pPr>
            <w:r>
              <w:rPr>
                <w:sz w:val="4"/>
                <w:szCs w:val="4"/>
              </w:rPr>
            </w:r>
          </w:p>
        </w:tc>
      </w:tr>
      <w:tr>
        <w:trPr/>
        <w:tc>
          <w:tcPr>
            <w:tcW w:w="455" w:type="dxa"/>
            <w:tcBorders/>
            <w:vAlign w:val="center"/>
          </w:tcPr>
          <w:p>
            <w:pPr>
              <w:pStyle w:val="TableContents"/>
              <w:bidi w:val="0"/>
              <w:spacing w:before="0" w:after="283"/>
              <w:jc w:val="left"/>
              <w:rPr/>
            </w:pPr>
            <w:r>
              <w:rPr/>
              <w:t>104</w:t>
            </w:r>
          </w:p>
        </w:tc>
        <w:tc>
          <w:tcPr>
            <w:tcW w:w="120" w:type="dxa"/>
            <w:tcBorders/>
            <w:vAlign w:val="center"/>
          </w:tcPr>
          <w:p>
            <w:pPr>
              <w:pStyle w:val="TableContents"/>
              <w:bidi w:val="0"/>
              <w:spacing w:before="0" w:after="283"/>
              <w:jc w:val="left"/>
              <w:rPr/>
            </w:pPr>
            <w:r>
              <w:rPr/>
              <w:t>  </w:t>
            </w:r>
          </w:p>
        </w:tc>
        <w:tc>
          <w:tcPr>
            <w:tcW w:w="7520" w:type="dxa"/>
            <w:tcBorders/>
            <w:vAlign w:val="center"/>
          </w:tcPr>
          <w:p>
            <w:pPr>
              <w:pStyle w:val="TableContents"/>
              <w:bidi w:val="0"/>
              <w:spacing w:before="0" w:after="283"/>
              <w:jc w:val="left"/>
              <w:rPr/>
            </w:pPr>
            <w:r>
              <w:rPr/>
              <w:t>Cover Page Interactive Data File (included within the Inline XBRL document).</w:t>
            </w:r>
          </w:p>
        </w:tc>
      </w:tr>
    </w:tbl>
    <w:p>
      <w:pPr>
        <w:pStyle w:val="HorizontalLine"/>
        <w:bidi w:val="0"/>
        <w:jc w:val="left"/>
        <w:rPr/>
      </w:pPr>
      <w:r>
        <w:br w:type="page"/>
      </w:r>
      <w:r>
        <w:rPr/>
      </w:r>
    </w:p>
    <w:p>
      <w:pPr>
        <w:pStyle w:val="TextBody"/>
        <w:bidi w:val="0"/>
        <w:spacing w:before="0" w:after="0"/>
        <w:jc w:val="left"/>
        <w:rPr>
          <w:rFonts w:ascii="Times New Roman" w:hAnsi="Times New Roman"/>
          <w:b/>
          <w:sz w:val="20"/>
          <w:u w:val="single"/>
        </w:rPr>
      </w:pPr>
      <w:r>
        <w:rPr>
          <w:rFonts w:ascii="Times New Roman" w:hAnsi="Times New Roman"/>
          <w:b/>
          <w:sz w:val="20"/>
          <w:u w:val="single"/>
        </w:rPr>
        <w:t xml:space="preserve">Signature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Exchange Act of 1934, the registrant has duly caused this report to be signed on its behalf by the undersigned hereunto duly authorized. </w:t>
      </w:r>
    </w:p>
    <w:p>
      <w:pPr>
        <w:pStyle w:val="TextBody"/>
        <w:bidi w:val="0"/>
        <w:spacing w:before="0" w:after="0"/>
        <w:jc w:val="left"/>
        <w:rPr/>
      </w:pPr>
      <w:r>
        <w:rPr/>
        <w:t> </w:t>
      </w:r>
    </w:p>
    <w:tbl>
      <w:tblPr>
        <w:tblW w:w="9945" w:type="dxa"/>
        <w:jc w:val="left"/>
        <w:tblInd w:w="0" w:type="dxa"/>
        <w:tblLayout w:type="fixed"/>
        <w:tblCellMar>
          <w:top w:w="0" w:type="dxa"/>
          <w:left w:w="0" w:type="dxa"/>
          <w:bottom w:w="0" w:type="dxa"/>
          <w:right w:w="0" w:type="dxa"/>
        </w:tblCellMar>
      </w:tblPr>
      <w:tblGrid>
        <w:gridCol w:w="2510"/>
        <w:gridCol w:w="60"/>
        <w:gridCol w:w="60"/>
        <w:gridCol w:w="60"/>
        <w:gridCol w:w="365"/>
        <w:gridCol w:w="60"/>
        <w:gridCol w:w="6830"/>
      </w:tblGrid>
      <w:tr>
        <w:trPr/>
        <w:tc>
          <w:tcPr>
            <w:tcW w:w="251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830" w:type="dxa"/>
            <w:tcBorders/>
            <w:vAlign w:val="center"/>
          </w:tcPr>
          <w:p>
            <w:pPr>
              <w:pStyle w:val="TableContents"/>
              <w:bidi w:val="0"/>
              <w:spacing w:before="0" w:after="283"/>
              <w:jc w:val="left"/>
              <w:rPr>
                <w:sz w:val="4"/>
                <w:szCs w:val="4"/>
              </w:rPr>
            </w:pPr>
            <w:r>
              <w:rPr>
                <w:sz w:val="4"/>
                <w:szCs w:val="4"/>
              </w:rPr>
            </w:r>
          </w:p>
        </w:tc>
      </w:tr>
      <w:tr>
        <w:trPr/>
        <w:tc>
          <w:tcPr>
            <w:tcW w:w="251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30" w:type="dxa"/>
            <w:tcBorders/>
            <w:vAlign w:val="center"/>
          </w:tcPr>
          <w:p>
            <w:pPr>
              <w:pStyle w:val="TableContents"/>
              <w:bidi w:val="0"/>
              <w:spacing w:before="0" w:after="283"/>
              <w:jc w:val="left"/>
              <w:rPr/>
            </w:pPr>
            <w:r>
              <w:rPr/>
              <w:t>GRACO INC.</w:t>
            </w:r>
          </w:p>
        </w:tc>
      </w:tr>
      <w:tr>
        <w:trPr/>
        <w:tc>
          <w:tcPr>
            <w:tcW w:w="2510" w:type="dxa"/>
            <w:tcBorders/>
            <w:vAlign w:val="center"/>
          </w:tcPr>
          <w:p>
            <w:pPr>
              <w:pStyle w:val="TableContents"/>
              <w:bidi w:val="0"/>
              <w:spacing w:before="0" w:after="283"/>
              <w:jc w:val="left"/>
              <w:rPr>
                <w:sz w:val="4"/>
                <w:szCs w:val="4"/>
              </w:rPr>
            </w:pPr>
            <w:r>
              <w:rPr>
                <w:sz w:val="4"/>
                <w:szCs w:val="4"/>
              </w:rPr>
            </w:r>
          </w:p>
        </w:tc>
        <w:tc>
          <w:tcPr>
            <w:tcW w:w="120" w:type="dxa"/>
            <w:gridSpan w:val="2"/>
            <w:tcBorders/>
            <w:vAlign w:val="center"/>
          </w:tcPr>
          <w:p>
            <w:pPr>
              <w:pStyle w:val="TableContents"/>
              <w:bidi w:val="0"/>
              <w:spacing w:before="0" w:after="283"/>
              <w:jc w:val="left"/>
              <w:rPr>
                <w:sz w:val="4"/>
                <w:szCs w:val="4"/>
              </w:rPr>
            </w:pPr>
            <w:r>
              <w:rPr>
                <w:sz w:val="4"/>
                <w:szCs w:val="4"/>
              </w:rPr>
            </w:r>
          </w:p>
        </w:tc>
        <w:tc>
          <w:tcPr>
            <w:tcW w:w="425" w:type="dxa"/>
            <w:gridSpan w:val="2"/>
            <w:tcBorders/>
            <w:vAlign w:val="center"/>
          </w:tcPr>
          <w:p>
            <w:pPr>
              <w:pStyle w:val="TableContents"/>
              <w:bidi w:val="0"/>
              <w:spacing w:before="0" w:after="283"/>
              <w:jc w:val="left"/>
              <w:rPr>
                <w:sz w:val="4"/>
                <w:szCs w:val="4"/>
              </w:rPr>
            </w:pPr>
            <w:r>
              <w:rPr>
                <w:sz w:val="4"/>
                <w:szCs w:val="4"/>
              </w:rPr>
            </w:r>
          </w:p>
        </w:tc>
        <w:tc>
          <w:tcPr>
            <w:tcW w:w="6890" w:type="dxa"/>
            <w:gridSpan w:val="2"/>
            <w:tcBorders/>
            <w:vAlign w:val="center"/>
          </w:tcPr>
          <w:p>
            <w:pPr>
              <w:pStyle w:val="TableContents"/>
              <w:bidi w:val="0"/>
              <w:spacing w:before="0" w:after="283"/>
              <w:jc w:val="left"/>
              <w:rPr>
                <w:sz w:val="4"/>
                <w:szCs w:val="4"/>
              </w:rPr>
            </w:pPr>
            <w:r>
              <w:rPr>
                <w:sz w:val="4"/>
                <w:szCs w:val="4"/>
              </w:rPr>
            </w:r>
          </w:p>
        </w:tc>
      </w:tr>
      <w:tr>
        <w:trPr/>
        <w:tc>
          <w:tcPr>
            <w:tcW w:w="2510" w:type="dxa"/>
            <w:tcBorders/>
            <w:vAlign w:val="center"/>
          </w:tcPr>
          <w:p>
            <w:pPr>
              <w:pStyle w:val="TableContents"/>
              <w:bidi w:val="0"/>
              <w:spacing w:before="0" w:after="283"/>
              <w:jc w:val="left"/>
              <w:rPr/>
            </w:pPr>
            <w:r>
              <w:rPr/>
              <w:t xml:space="preserve">Date: </w:t>
            </w:r>
            <w:r>
              <w:rPr>
                <w:u w:val="single"/>
              </w:rPr>
              <w:t>September 14, 2026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By:</w:t>
            </w:r>
          </w:p>
        </w:tc>
        <w:tc>
          <w:tcPr>
            <w:tcW w:w="60" w:type="dxa"/>
            <w:tcBorders/>
            <w:vAlign w:val="center"/>
          </w:tcPr>
          <w:p>
            <w:pPr>
              <w:pStyle w:val="TableContents"/>
              <w:bidi w:val="0"/>
              <w:spacing w:before="0" w:after="283"/>
              <w:jc w:val="left"/>
              <w:rPr/>
            </w:pPr>
            <w:r>
              <w:rPr/>
              <w:t> </w:t>
            </w:r>
          </w:p>
        </w:tc>
        <w:tc>
          <w:tcPr>
            <w:tcW w:w="6830" w:type="dxa"/>
            <w:tcBorders/>
            <w:vAlign w:val="center"/>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Joseph James Humke</w:t>
            </w:r>
          </w:p>
        </w:tc>
      </w:tr>
      <w:tr>
        <w:trPr/>
        <w:tc>
          <w:tcPr>
            <w:tcW w:w="251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830" w:type="dxa"/>
            <w:tcBorders/>
            <w:vAlign w:val="center"/>
          </w:tcPr>
          <w:p>
            <w:pPr>
              <w:pStyle w:val="TableContents"/>
              <w:bidi w:val="0"/>
              <w:spacing w:before="0" w:after="283"/>
              <w:jc w:val="left"/>
              <w:rPr/>
            </w:pPr>
            <w:r>
              <w:rPr/>
              <w:t>Joseph James Humke</w:t>
            </w:r>
          </w:p>
        </w:tc>
      </w:tr>
      <w:tr>
        <w:trPr/>
        <w:tc>
          <w:tcPr>
            <w:tcW w:w="251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830" w:type="dxa"/>
            <w:tcBorders/>
            <w:vAlign w:val="center"/>
          </w:tcPr>
          <w:p>
            <w:pPr>
              <w:pStyle w:val="TableContents"/>
              <w:bidi w:val="0"/>
              <w:spacing w:before="0" w:after="283"/>
              <w:jc w:val="left"/>
              <w:rPr/>
            </w:pPr>
            <w:r>
              <w:rPr/>
              <w:t>Its: Executive Vice President, General Counsel and Corporate Secretary</w:t>
            </w:r>
          </w:p>
        </w:tc>
      </w:tr>
    </w:tbl>
    <w:p>
      <w:pPr>
        <w:pStyle w:val="TextBody"/>
        <w:bidi w:val="0"/>
        <w:spacing w:before="0" w:after="0"/>
        <w:jc w:val="right"/>
        <w:rPr>
          <w:rFonts w:ascii="Times New Roman" w:hAnsi="Times New Roman"/>
          <w:b/>
          <w:sz w:val="20"/>
        </w:rPr>
      </w:pPr>
      <w:bookmarkStart w:id="2" w:name="d127483dex991.htm"/>
      <w:bookmarkStart w:id="3" w:name="ksd127483dex991"/>
      <w:bookmarkEnd w:id="2"/>
      <w:bookmarkEnd w:id="3"/>
      <w:r>
        <w:rPr>
          <w:rFonts w:ascii="Times New Roman" w:hAnsi="Times New Roman"/>
          <w:b/>
          <w:sz w:val="20"/>
        </w:rPr>
        <w:t xml:space="preserve">Exhibit 99.1 </w:t>
      </w:r>
      <w:r>
        <w:br w:type="page"/>
      </w:r>
    </w:p>
    <w:p>
      <w:pPr>
        <w:pStyle w:val="TextBody"/>
        <w:bidi w:val="0"/>
        <w:spacing w:before="0" w:after="0"/>
        <w:jc w:val="left"/>
        <w:rPr/>
      </w:pPr>
      <w:r>
        <w:rPr/>
        <w:t> </w:t>
      </w:r>
    </w:p>
    <w:p>
      <w:pPr>
        <w:pStyle w:val="TextBody"/>
        <w:bidi w:val="0"/>
        <w:spacing w:before="0" w:after="0"/>
        <w:jc w:val="left"/>
        <w:rPr/>
      </w:pPr>
      <w:r>
        <w:rPr/>
        <w:drawing>
          <wp:inline distT="0" distB="0" distL="0" distR="0">
            <wp:extent cx="2771775" cy="4953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771775" cy="495300"/>
                    </a:xfrm>
                    <a:prstGeom prst="rect">
                      <a:avLst/>
                    </a:prstGeom>
                  </pic:spPr>
                </pic:pic>
              </a:graphicData>
            </a:graphic>
          </wp:inline>
        </w:drawing>
      </w:r>
      <w:r>
        <w:rPr/>
        <w:t xml:space="preserve"> </w:t>
      </w:r>
    </w:p>
    <w:p>
      <w:pPr>
        <w:pStyle w:val="TextBody"/>
        <w:bidi w:val="0"/>
        <w:spacing w:before="240" w:after="0"/>
        <w:jc w:val="left"/>
        <w:rPr>
          <w:rFonts w:ascii="Times New Roman" w:hAnsi="Times New Roman"/>
          <w:b/>
          <w:sz w:val="20"/>
        </w:rPr>
      </w:pPr>
      <w:r>
        <w:rPr>
          <w:rFonts w:ascii="Times New Roman" w:hAnsi="Times New Roman"/>
          <w:b/>
          <w:sz w:val="20"/>
        </w:rPr>
        <w:t xml:space="preserve">Graco Inc. Appoints Richard B. Lewis to the Board of Directors </w:t>
      </w:r>
    </w:p>
    <w:p>
      <w:pPr>
        <w:pStyle w:val="TextBody"/>
        <w:bidi w:val="0"/>
        <w:spacing w:before="240" w:after="0"/>
        <w:jc w:val="left"/>
        <w:rPr>
          <w:rFonts w:ascii="Times New Roman" w:hAnsi="Times New Roman"/>
          <w:sz w:val="20"/>
        </w:rPr>
      </w:pPr>
      <w:r>
        <w:rPr>
          <w:rFonts w:ascii="Times New Roman" w:hAnsi="Times New Roman"/>
          <w:sz w:val="20"/>
        </w:rPr>
        <w:t xml:space="preserve">September 11, 2026 </w:t>
      </w:r>
    </w:p>
    <w:p>
      <w:pPr>
        <w:pStyle w:val="TextBody"/>
        <w:bidi w:val="0"/>
        <w:spacing w:before="120" w:after="0"/>
        <w:jc w:val="left"/>
        <w:rPr>
          <w:rFonts w:ascii="Times New Roman" w:hAnsi="Times New Roman"/>
          <w:sz w:val="20"/>
        </w:rPr>
      </w:pPr>
      <w:r>
        <w:rPr>
          <w:rFonts w:ascii="Times New Roman" w:hAnsi="Times New Roman"/>
          <w:sz w:val="20"/>
        </w:rPr>
        <w:t xml:space="preserve">MINNEAPOLIS--(BUSINESS WIRE)--Sep. 11, 2026-- Graco Inc. </w:t>
      </w:r>
      <w:r>
        <w:rPr>
          <w:rFonts w:ascii="Times New Roman" w:hAnsi="Times New Roman"/>
          <w:b/>
          <w:sz w:val="20"/>
        </w:rPr>
        <w:t xml:space="preserve">(NYSE:GGG) </w:t>
      </w:r>
      <w:r>
        <w:rPr>
          <w:rFonts w:ascii="Times New Roman" w:hAnsi="Times New Roman"/>
          <w:sz w:val="20"/>
        </w:rPr>
        <w:t xml:space="preserve">announced today that Richard B. Lewis has been appointed as a member of the company’s Board of Directors, effective December 3, 2026. </w:t>
      </w:r>
    </w:p>
    <w:p>
      <w:pPr>
        <w:pStyle w:val="TextBody"/>
        <w:bidi w:val="0"/>
        <w:spacing w:before="240" w:after="0"/>
        <w:jc w:val="left"/>
        <w:rPr>
          <w:rFonts w:ascii="Times New Roman" w:hAnsi="Times New Roman"/>
          <w:sz w:val="20"/>
        </w:rPr>
      </w:pPr>
      <w:r>
        <w:rPr>
          <w:rFonts w:ascii="Times New Roman" w:hAnsi="Times New Roman"/>
          <w:sz w:val="20"/>
        </w:rPr>
        <w:t xml:space="preserve">Mr. Lewis is President and Chief Executive Officer of Donaldson Company, Inc. </w:t>
      </w:r>
      <w:r>
        <w:rPr>
          <w:rFonts w:ascii="Times New Roman" w:hAnsi="Times New Roman"/>
          <w:b/>
          <w:sz w:val="20"/>
        </w:rPr>
        <w:t>(NYSE: DCI)</w:t>
      </w:r>
      <w:r>
        <w:rPr>
          <w:rFonts w:ascii="Times New Roman" w:hAnsi="Times New Roman"/>
          <w:sz w:val="20"/>
        </w:rPr>
        <w:t xml:space="preserve">, a leading worldwide provider of innovative filtration products and solutions, a role he has held since March 2026. He also serves on its board of directors. Previously, he was Donaldson’s Chief Operating Officer and held a broad range of senior leadership roles across the organization, including overseeing global operations and serving as President of its Mobile Solutions and Life Sciences businesses. Mr. Lewis holds a bachelor’s degree in industrial engineering from the University of Louisville and a Master of Business Administration from Indiana University-Purdue University Indianapolis. </w:t>
      </w:r>
    </w:p>
    <w:p>
      <w:pPr>
        <w:pStyle w:val="TextBody"/>
        <w:bidi w:val="0"/>
        <w:spacing w:before="240" w:after="0"/>
        <w:jc w:val="left"/>
        <w:rPr/>
      </w:pPr>
      <w:r>
        <w:rPr/>
        <w:t>“</w:t>
      </w:r>
      <w:r>
        <w:rPr>
          <w:rFonts w:ascii="Times New Roman" w:hAnsi="Times New Roman"/>
          <w:sz w:val="20"/>
        </w:rPr>
        <w:t xml:space="preserve">Rich’s operational and commercial experience and his successful track record in senior leadership positions at a public manufacturing company make him an excellent fit for the Graco Board. He has played an integral role in developing and executing successful strategies in a global organization,” said J. Kevin Gilligan, Graco’s Chairman of the Board. “On behalf of our Board and Directors, I am pleased to welcome Rich to Graco.” </w:t>
      </w:r>
    </w:p>
    <w:p>
      <w:pPr>
        <w:pStyle w:val="TextBody"/>
        <w:bidi w:val="0"/>
        <w:spacing w:before="240" w:after="0"/>
        <w:jc w:val="left"/>
        <w:rPr>
          <w:rFonts w:ascii="Times New Roman" w:hAnsi="Times New Roman"/>
          <w:sz w:val="20"/>
        </w:rPr>
      </w:pPr>
      <w:r>
        <w:rPr>
          <w:rFonts w:ascii="Times New Roman" w:hAnsi="Times New Roman"/>
          <w:sz w:val="20"/>
        </w:rPr>
        <w:t xml:space="preserve">Mr. Lewis will serve on the company’s Audit Committee. </w:t>
      </w:r>
    </w:p>
    <w:p>
      <w:pPr>
        <w:pStyle w:val="TextBody"/>
        <w:bidi w:val="0"/>
        <w:spacing w:before="360" w:after="0"/>
        <w:jc w:val="left"/>
        <w:rPr>
          <w:rFonts w:ascii="Times New Roman" w:hAnsi="Times New Roman"/>
          <w:sz w:val="20"/>
        </w:rPr>
      </w:pPr>
      <w:r>
        <w:rPr>
          <w:rFonts w:ascii="Times New Roman" w:hAnsi="Times New Roman"/>
          <w:b/>
          <w:sz w:val="20"/>
        </w:rPr>
        <w:t>ABOUT GRACO</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Graco Inc. supplies technology and expertise for the management of fluids and coatings in both industrial and commercial applications. It designs, manufactures and markets systems and equipment to move, measure, control, dispense and spray fluid and powder materials. A recognized leader in its specialties, Minneapolis-based Graco serves customers around the world in the manufacturing, processing, construction, and maintenance industries. For additional information about Graco Inc., please visit us at </w:t>
      </w:r>
      <w:r>
        <w:rPr>
          <w:rFonts w:ascii="Times New Roman" w:hAnsi="Times New Roman"/>
          <w:sz w:val="20"/>
          <w:u w:val="single"/>
        </w:rPr>
        <w:t>www.graco.com</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View source version on businesswire.com: </w:t>
      </w:r>
      <w:r>
        <w:rPr>
          <w:rFonts w:ascii="Times New Roman" w:hAnsi="Times New Roman"/>
          <w:sz w:val="20"/>
          <w:u w:val="single"/>
        </w:rPr>
        <w:t>https://www.businesswire.com/news/home/20260911411616/en/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b/>
          <w:sz w:val="20"/>
        </w:rPr>
        <w:t>FOR FURTHER INFORMATION:</w:t>
      </w:r>
      <w:r>
        <w:rPr>
          <w:rFonts w:ascii="Times New Roman" w:hAnsi="Times New Roman"/>
          <w:sz w:val="20"/>
        </w:rPr>
        <w:t xml:space="preserve"> </w:t>
      </w:r>
    </w:p>
    <w:p>
      <w:pPr>
        <w:pStyle w:val="TextBody"/>
        <w:bidi w:val="0"/>
        <w:spacing w:before="0" w:after="0"/>
        <w:jc w:val="left"/>
        <w:rPr>
          <w:rFonts w:ascii="Times New Roman" w:hAnsi="Times New Roman"/>
          <w:sz w:val="20"/>
        </w:rPr>
      </w:pPr>
      <w:r>
        <w:rPr>
          <w:rFonts w:ascii="Times New Roman" w:hAnsi="Times New Roman"/>
          <w:sz w:val="20"/>
        </w:rPr>
        <w:t xml:space="preserve">Meredith Sobieck, 763-353-1498 </w:t>
      </w:r>
    </w:p>
    <w:p>
      <w:pPr>
        <w:pStyle w:val="TextBody"/>
        <w:bidi w:val="0"/>
        <w:spacing w:before="0" w:after="0"/>
        <w:jc w:val="left"/>
        <w:rPr>
          <w:rFonts w:ascii="Times New Roman" w:hAnsi="Times New Roman"/>
          <w:sz w:val="20"/>
        </w:rPr>
      </w:pPr>
      <w:r>
        <w:rPr>
          <w:rFonts w:ascii="Times New Roman" w:hAnsi="Times New Roman"/>
          <w:sz w:val="20"/>
          <w:u w:val="single"/>
        </w:rPr>
        <w:t>Meredith_A_Sobieck@graco.com</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Source: Graco Inc.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Pages>
  <Words>805</Words>
  <Characters>4625</Characters>
  <CharactersWithSpaces>5430</CharactersWithSpaces>
  <Paragraphs>134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EX-99.1</dc:title>
</cp:coreProperties>
</file>