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Black Archie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11TH AVENUE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GGG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131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357.89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357.89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76.84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4,508.6493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deferred stock shares were accrued under the Graco Inc. Amended and Restated 2019 Stock Incentive Plan and are to be settled 100% in Graco common stock in a lump sum or installments upon reporting person's termination of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Graco Inc. deferred stock received in lieu of quarterly retainer fees.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number of deferred stock shares includes deferred stock shares acquired under the Graco Inc. Automatic Dividend Reinvestment Plan (DRIP), exempt under Rule 16a-11.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J. Humke, attorney-in-fact for Mr. Black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9095" TargetMode="External"/><Relationship Id="rId5" Type="http://schemas.openxmlformats.org/officeDocument/2006/relationships/hyperlink" Target="http://www.sec.gov/cgi-bin/browse-edgar?action=getcompany&amp;CIK=00000428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3515</Characters>
  <CharactersWithSpaces>4094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