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 xml:space="preserve">Quarterly Report Pursuant to Section 13 or 15(d) of the Securities Exchange Act of 1934 </w:t>
      </w:r>
    </w:p>
    <w:p>
      <w:pPr>
        <w:pStyle w:val="TextBody"/>
        <w:bidi w:val="0"/>
        <w:spacing w:lineRule="auto" w:line="288" w:before="0" w:after="0"/>
        <w:jc w:val="left"/>
        <w:rPr/>
      </w:pPr>
      <w:r>
        <w:rPr>
          <w:rFonts w:ascii="Arial;sans-serif" w:hAnsi="Arial;sans-serif"/>
          <w:b w:val="false"/>
          <w:color w:val="000000"/>
          <w:sz w:val="20"/>
        </w:rPr>
        <w:t xml:space="preserve">For the quarterly period ended </w:t>
      </w:r>
      <w:r>
        <w:rPr>
          <w:rFonts w:ascii="Arial;sans-serif" w:hAnsi="Arial;sans-serif"/>
          <w:b/>
          <w:color w:val="000000"/>
          <w:sz w:val="20"/>
        </w:rPr>
        <w:t>September 25, 2026</w:t>
      </w:r>
    </w:p>
    <w:p>
      <w:pPr>
        <w:pStyle w:val="TextBody"/>
        <w:bidi w:val="0"/>
        <w:spacing w:lineRule="auto" w:line="288" w:before="0" w:after="0"/>
        <w:jc w:val="left"/>
        <w:rPr>
          <w:rFonts w:ascii="Arial;sans-serif" w:hAnsi="Arial;sans-serif"/>
          <w:b/>
          <w:color w:val="000000"/>
          <w:sz w:val="12"/>
        </w:rPr>
      </w:pPr>
      <w:r>
        <w:rPr>
          <w:rFonts w:ascii="Arial;sans-serif" w:hAnsi="Arial;sans-serif"/>
          <w:b/>
          <w:color w:val="000000"/>
          <w:sz w:val="12"/>
        </w:rPr>
        <w:t xml:space="preserve">OR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Transition Report Pursuant to Section 13 or 15(d) of the Securities Exchange Act of 1934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transition period from to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Commission File Number:  </w:t>
      </w:r>
      <w:r>
        <w:rPr>
          <w:rFonts w:ascii="Arial;sans-serif" w:hAnsi="Arial;sans-serif"/>
          <w:b w:val="false"/>
          <w:color w:val="000000"/>
          <w:sz w:val="20"/>
          <w:u w:val="single"/>
        </w:rPr>
        <w:t>001-09249</w:t>
      </w:r>
      <w:r>
        <w:rPr>
          <w:color w:val="000000"/>
        </w:rPr>
        <w:t xml:space="preserve"> </w:t>
      </w:r>
    </w:p>
    <w:tbl>
      <w:tblPr>
        <w:tblW w:w="4980" w:type="dxa"/>
        <w:jc w:val="center"/>
        <w:tblInd w:w="0" w:type="dxa"/>
        <w:tblLayout w:type="fixed"/>
        <w:tblCellMar>
          <w:top w:w="28" w:type="dxa"/>
          <w:left w:w="28" w:type="dxa"/>
          <w:bottom w:w="28" w:type="dxa"/>
          <w:right w:w="28" w:type="dxa"/>
        </w:tblCellMar>
      </w:tblPr>
      <w:tblGrid>
        <w:gridCol w:w="1593"/>
        <w:gridCol w:w="1400"/>
        <w:gridCol w:w="1987"/>
      </w:tblGrid>
      <w:tr>
        <w:trPr/>
        <w:tc>
          <w:tcPr>
            <w:tcW w:w="15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GRACO INC.</w:t>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     </w:t>
            </w:r>
          </w:p>
        </w:tc>
      </w:tr>
    </w:tbl>
    <w:p>
      <w:pPr>
        <w:pStyle w:val="TextBody"/>
        <w:bidi w:val="0"/>
        <w:spacing w:lineRule="auto" w:line="288" w:before="0" w:after="0"/>
        <w:jc w:val="center"/>
        <w:rPr>
          <w:color w:val="000000"/>
        </w:rPr>
      </w:pPr>
      <w:r>
        <w:rPr>
          <w:color w:val="000000"/>
        </w:rPr>
        <w:t> </w:t>
      </w:r>
    </w:p>
    <w:tbl>
      <w:tblPr>
        <w:tblW w:w="9462" w:type="dxa"/>
        <w:jc w:val="center"/>
        <w:tblInd w:w="0" w:type="dxa"/>
        <w:tblLayout w:type="fixed"/>
        <w:tblCellMar>
          <w:top w:w="28" w:type="dxa"/>
          <w:left w:w="28" w:type="dxa"/>
          <w:bottom w:w="28" w:type="dxa"/>
          <w:right w:w="28" w:type="dxa"/>
        </w:tblCellMar>
      </w:tblPr>
      <w:tblGrid>
        <w:gridCol w:w="1906"/>
        <w:gridCol w:w="1674"/>
        <w:gridCol w:w="1685"/>
        <w:gridCol w:w="109"/>
        <w:gridCol w:w="109"/>
        <w:gridCol w:w="109"/>
        <w:gridCol w:w="1131"/>
        <w:gridCol w:w="1131"/>
        <w:gridCol w:w="1608"/>
      </w:tblGrid>
      <w:tr>
        <w:trPr/>
        <w:tc>
          <w:tcPr>
            <w:tcW w:w="190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41-0285640</w:t>
            </w:r>
          </w:p>
        </w:tc>
      </w:tr>
      <w:tr>
        <w:trPr/>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Number)     </w:t>
            </w:r>
          </w:p>
        </w:tc>
      </w:tr>
    </w:tbl>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724"/>
        <w:gridCol w:w="638"/>
        <w:gridCol w:w="641"/>
        <w:gridCol w:w="579"/>
        <w:gridCol w:w="579"/>
        <w:gridCol w:w="588"/>
        <w:gridCol w:w="109"/>
        <w:gridCol w:w="109"/>
        <w:gridCol w:w="109"/>
        <w:gridCol w:w="395"/>
        <w:gridCol w:w="395"/>
        <w:gridCol w:w="560"/>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88 - 11th Avenue 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Minneapolis,</w:t>
            </w:r>
          </w:p>
        </w:tc>
        <w:tc>
          <w:tcPr>
            <w:tcW w:w="1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55413</w:t>
            </w:r>
          </w:p>
        </w:tc>
      </w:tr>
      <w:tr>
        <w:trPr/>
        <w:tc>
          <w:tcPr>
            <w:tcW w:w="37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     </w:t>
            </w:r>
          </w:p>
        </w:tc>
      </w:tr>
    </w:tbl>
    <w:tbl>
      <w:tblPr>
        <w:tblW w:w="4724" w:type="dxa"/>
        <w:jc w:val="center"/>
        <w:tblInd w:w="0" w:type="dxa"/>
        <w:tblLayout w:type="fixed"/>
        <w:tblCellMar>
          <w:top w:w="28" w:type="dxa"/>
          <w:left w:w="28" w:type="dxa"/>
          <w:bottom w:w="28" w:type="dxa"/>
          <w:right w:w="28" w:type="dxa"/>
        </w:tblCellMar>
      </w:tblPr>
      <w:tblGrid>
        <w:gridCol w:w="630"/>
        <w:gridCol w:w="558"/>
        <w:gridCol w:w="561"/>
        <w:gridCol w:w="870"/>
        <w:gridCol w:w="870"/>
        <w:gridCol w:w="1235"/>
      </w:tblGrid>
      <w:tr>
        <w:trPr/>
        <w:tc>
          <w:tcPr>
            <w:tcW w:w="6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2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623-6000</w:t>
            </w:r>
          </w:p>
        </w:tc>
      </w:tr>
      <w:tr>
        <w:trPr/>
        <w:tc>
          <w:tcPr>
            <w:tcW w:w="47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92" w:type="dxa"/>
        <w:jc w:val="center"/>
        <w:tblInd w:w="0" w:type="dxa"/>
        <w:tblLayout w:type="fixed"/>
        <w:tblCellMar>
          <w:top w:w="28" w:type="dxa"/>
          <w:left w:w="28" w:type="dxa"/>
          <w:bottom w:w="28" w:type="dxa"/>
          <w:right w:w="28" w:type="dxa"/>
        </w:tblCellMar>
      </w:tblPr>
      <w:tblGrid>
        <w:gridCol w:w="1373"/>
        <w:gridCol w:w="1204"/>
        <w:gridCol w:w="1217"/>
        <w:gridCol w:w="564"/>
        <w:gridCol w:w="564"/>
        <w:gridCol w:w="566"/>
        <w:gridCol w:w="1170"/>
        <w:gridCol w:w="1170"/>
        <w:gridCol w:w="1664"/>
      </w:tblGrid>
      <w:tr>
        <w:trPr/>
        <w:tc>
          <w:tcPr>
            <w:tcW w:w="137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$1.00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GGG</w:t>
            </w:r>
          </w:p>
        </w:tc>
        <w:tc>
          <w:tcPr>
            <w:tcW w:w="4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2492" w:type="dxa"/>
        <w:jc w:val="center"/>
        <w:tblInd w:w="0" w:type="dxa"/>
        <w:tblLayout w:type="fixed"/>
        <w:tblCellMar>
          <w:top w:w="28" w:type="dxa"/>
          <w:left w:w="28" w:type="dxa"/>
          <w:bottom w:w="28" w:type="dxa"/>
          <w:right w:w="28" w:type="dxa"/>
        </w:tblCellMar>
      </w:tblPr>
      <w:tblGrid>
        <w:gridCol w:w="124"/>
        <w:gridCol w:w="109"/>
        <w:gridCol w:w="109"/>
        <w:gridCol w:w="150"/>
        <w:gridCol w:w="150"/>
        <w:gridCol w:w="151"/>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2492" w:type="dxa"/>
        <w:jc w:val="center"/>
        <w:tblInd w:w="0" w:type="dxa"/>
        <w:tblLayout w:type="fixed"/>
        <w:tblCellMar>
          <w:top w:w="28" w:type="dxa"/>
          <w:left w:w="28" w:type="dxa"/>
          <w:bottom w:w="28" w:type="dxa"/>
          <w:right w:w="28" w:type="dxa"/>
        </w:tblCellMar>
      </w:tblPr>
      <w:tblGrid>
        <w:gridCol w:w="124"/>
        <w:gridCol w:w="109"/>
        <w:gridCol w:w="109"/>
        <w:gridCol w:w="150"/>
        <w:gridCol w:w="150"/>
        <w:gridCol w:w="151"/>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616" w:type="dxa"/>
        <w:jc w:val="center"/>
        <w:tblInd w:w="0" w:type="dxa"/>
        <w:tblLayout w:type="fixed"/>
        <w:tblCellMar>
          <w:top w:w="28" w:type="dxa"/>
          <w:left w:w="28" w:type="dxa"/>
          <w:bottom w:w="28" w:type="dxa"/>
          <w:right w:w="28" w:type="dxa"/>
        </w:tblCellMar>
      </w:tblPr>
      <w:tblGrid>
        <w:gridCol w:w="881"/>
        <w:gridCol w:w="772"/>
        <w:gridCol w:w="777"/>
        <w:gridCol w:w="109"/>
        <w:gridCol w:w="109"/>
        <w:gridCol w:w="109"/>
        <w:gridCol w:w="504"/>
        <w:gridCol w:w="504"/>
        <w:gridCol w:w="506"/>
        <w:gridCol w:w="109"/>
        <w:gridCol w:w="109"/>
        <w:gridCol w:w="109"/>
        <w:gridCol w:w="629"/>
        <w:gridCol w:w="629"/>
        <w:gridCol w:w="631"/>
        <w:gridCol w:w="109"/>
        <w:gridCol w:w="109"/>
        <w:gridCol w:w="109"/>
        <w:gridCol w:w="809"/>
        <w:gridCol w:w="809"/>
        <w:gridCol w:w="812"/>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w:t>
      </w:r>
    </w:p>
    <w:tbl>
      <w:tblPr>
        <w:tblW w:w="2492" w:type="dxa"/>
        <w:jc w:val="center"/>
        <w:tblInd w:w="0" w:type="dxa"/>
        <w:tblLayout w:type="fixed"/>
        <w:tblCellMar>
          <w:top w:w="28" w:type="dxa"/>
          <w:left w:w="28" w:type="dxa"/>
          <w:bottom w:w="28" w:type="dxa"/>
          <w:right w:w="28" w:type="dxa"/>
        </w:tblCellMar>
      </w:tblPr>
      <w:tblGrid>
        <w:gridCol w:w="124"/>
        <w:gridCol w:w="109"/>
        <w:gridCol w:w="109"/>
        <w:gridCol w:w="150"/>
        <w:gridCol w:w="150"/>
        <w:gridCol w:w="151"/>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160,375,132 shares of the Registrant’s Common Stock, $1.00 par value, were outstanding as of October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pPr>
      <w:r>
        <w:rPr>
          <w:rFonts w:ascii="Arial;sans-serif" w:hAnsi="Arial;sans-serif"/>
          <w:b/>
          <w:color w:val="000000"/>
          <w:sz w:val="24"/>
        </w:rPr>
        <w:t>TABLE OF CONTENTS</w:t>
      </w:r>
      <w:r>
        <w:rPr>
          <w:color w:val="000000"/>
        </w:rPr>
        <w:t> </w:t>
      </w:r>
    </w:p>
    <w:tbl>
      <w:tblPr>
        <w:tblW w:w="10205" w:type="dxa"/>
        <w:jc w:val="left"/>
        <w:tblInd w:w="0" w:type="dxa"/>
        <w:tblLayout w:type="fixed"/>
        <w:tblCellMar>
          <w:top w:w="28" w:type="dxa"/>
          <w:left w:w="28" w:type="dxa"/>
          <w:bottom w:w="28" w:type="dxa"/>
          <w:right w:w="28" w:type="dxa"/>
        </w:tblCellMar>
      </w:tblPr>
      <w:tblGrid>
        <w:gridCol w:w="351"/>
        <w:gridCol w:w="308"/>
        <w:gridCol w:w="308"/>
        <w:gridCol w:w="343"/>
        <w:gridCol w:w="343"/>
        <w:gridCol w:w="312"/>
        <w:gridCol w:w="308"/>
        <w:gridCol w:w="308"/>
        <w:gridCol w:w="308"/>
        <w:gridCol w:w="2240"/>
        <w:gridCol w:w="2179"/>
        <w:gridCol w:w="2291"/>
        <w:gridCol w:w="176"/>
        <w:gridCol w:w="176"/>
        <w:gridCol w:w="254"/>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59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PART I - FINANCIAL INFORMATION</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1.</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0">
              <w:r>
                <w:rPr>
                  <w:rStyle w:val="InternetLink"/>
                  <w:rFonts w:ascii="Arial;sans-serif" w:hAnsi="Arial;sans-serif"/>
                  <w:b w:val="false"/>
                  <w:color w:val="0000FF"/>
                  <w:sz w:val="20"/>
                  <w:u w:val="single"/>
                </w:rPr>
                <w:t>Financial Statements</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3">
              <w:r>
                <w:rPr>
                  <w:rStyle w:val="InternetLink"/>
                  <w:rFonts w:ascii="Arial;sans-serif" w:hAnsi="Arial;sans-serif"/>
                  <w:b w:val="false"/>
                  <w:color w:val="0000FF"/>
                  <w:sz w:val="20"/>
                  <w:u w:val="single"/>
                </w:rPr>
                <w:t>Consolidated Statements of Earnings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3">
              <w:r>
                <w:rPr>
                  <w:rStyle w:val="InternetLink"/>
                  <w:rFonts w:ascii="Arial;sans-serif" w:hAnsi="Arial;sans-serif"/>
                  <w:b w:val="false"/>
                  <w:strike w:val="false"/>
                  <w:dstrike w:val="false"/>
                  <w:color w:val="0000FF"/>
                  <w:sz w:val="20"/>
                  <w:u w:val="none"/>
                  <w:effect w:val="none"/>
                </w:rPr>
                <w:t>3</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3">
              <w:r>
                <w:rPr>
                  <w:rStyle w:val="InternetLink"/>
                  <w:rFonts w:ascii="Arial;sans-serif" w:hAnsi="Arial;sans-serif"/>
                  <w:b w:val="false"/>
                  <w:color w:val="0000FF"/>
                  <w:sz w:val="20"/>
                  <w:u w:val="single"/>
                </w:rPr>
                <w:t>Consolidated Statements of Comprehensive Income</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3">
              <w:r>
                <w:rPr>
                  <w:rStyle w:val="InternetLink"/>
                  <w:rFonts w:ascii="Arial;sans-serif" w:hAnsi="Arial;sans-serif"/>
                  <w:b w:val="false"/>
                  <w:strike w:val="false"/>
                  <w:dstrike w:val="false"/>
                  <w:color w:val="0000FF"/>
                  <w:sz w:val="20"/>
                  <w:u w:val="none"/>
                  <w:effect w:val="none"/>
                </w:rPr>
                <w:t>3</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6">
              <w:r>
                <w:rPr>
                  <w:rStyle w:val="InternetLink"/>
                  <w:rFonts w:ascii="Arial;sans-serif" w:hAnsi="Arial;sans-serif"/>
                  <w:b w:val="false"/>
                  <w:color w:val="0000FF"/>
                  <w:sz w:val="20"/>
                  <w:u w:val="single"/>
                </w:rPr>
                <w:t>Consolidated Balance Sheets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6">
              <w:r>
                <w:rPr>
                  <w:rStyle w:val="InternetLink"/>
                  <w:rFonts w:ascii="Arial;sans-serif" w:hAnsi="Arial;sans-serif"/>
                  <w:b w:val="false"/>
                  <w:strike w:val="false"/>
                  <w:dstrike w:val="false"/>
                  <w:color w:val="0000FF"/>
                  <w:sz w:val="20"/>
                  <w:u w:val="none"/>
                  <w:effect w:val="none"/>
                </w:rPr>
                <w:t>4</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9">
              <w:r>
                <w:rPr>
                  <w:rStyle w:val="InternetLink"/>
                  <w:rFonts w:ascii="Arial;sans-serif" w:hAnsi="Arial;sans-serif"/>
                  <w:b w:val="false"/>
                  <w:color w:val="0000FF"/>
                  <w:sz w:val="20"/>
                  <w:u w:val="single"/>
                </w:rPr>
                <w:t>Consolidated Statements of Cash Flows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9">
              <w:r>
                <w:rPr>
                  <w:rStyle w:val="InternetLink"/>
                  <w:rFonts w:ascii="Arial;sans-serif" w:hAnsi="Arial;sans-serif"/>
                  <w:b w:val="false"/>
                  <w:strike w:val="false"/>
                  <w:dstrike w:val="false"/>
                  <w:color w:val="0000FF"/>
                  <w:sz w:val="20"/>
                  <w:u w:val="none"/>
                  <w:effect w:val="none"/>
                </w:rPr>
                <w:t>5</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22">
              <w:r>
                <w:rPr>
                  <w:rStyle w:val="InternetLink"/>
                  <w:rFonts w:ascii="Arial;sans-serif" w:hAnsi="Arial;sans-serif"/>
                  <w:b w:val="false"/>
                  <w:color w:val="0000FF"/>
                  <w:sz w:val="20"/>
                  <w:u w:val="single"/>
                </w:rPr>
                <w:t>Consolidated Statements of Shareholders' Equity</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22">
              <w:r>
                <w:rPr>
                  <w:rStyle w:val="InternetLink"/>
                  <w:rFonts w:ascii="Arial;sans-serif" w:hAnsi="Arial;sans-serif"/>
                  <w:b w:val="false"/>
                  <w:strike w:val="false"/>
                  <w:dstrike w:val="false"/>
                  <w:color w:val="0000FF"/>
                  <w:sz w:val="20"/>
                  <w:u w:val="none"/>
                  <w:effect w:val="none"/>
                </w:rPr>
                <w:t>6</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25">
              <w:r>
                <w:rPr>
                  <w:rStyle w:val="InternetLink"/>
                  <w:rFonts w:ascii="Arial;sans-serif" w:hAnsi="Arial;sans-serif"/>
                  <w:b w:val="false"/>
                  <w:color w:val="0000FF"/>
                  <w:sz w:val="20"/>
                  <w:u w:val="single"/>
                </w:rPr>
                <w:t>Notes to Consolidated Financial Statements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25">
              <w:r>
                <w:rPr>
                  <w:rStyle w:val="InternetLink"/>
                  <w:rFonts w:ascii="Arial;sans-serif" w:hAnsi="Arial;sans-serif"/>
                  <w:b w:val="false"/>
                  <w:strike w:val="false"/>
                  <w:dstrike w:val="false"/>
                  <w:color w:val="0000FF"/>
                  <w:sz w:val="20"/>
                  <w:u w:val="none"/>
                  <w:effect w:val="none"/>
                </w:rPr>
                <w:t>7</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2.</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79">
              <w:r>
                <w:rPr>
                  <w:rStyle w:val="InternetLink"/>
                  <w:rFonts w:ascii="Arial;sans-serif" w:hAnsi="Arial;sans-serif"/>
                  <w:b w:val="false"/>
                  <w:color w:val="0000FF"/>
                  <w:sz w:val="20"/>
                  <w:u w:val="single"/>
                </w:rPr>
                <w:t>Management’s Discussion and Analysis of Financial Condition and Results of Operations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79">
              <w:r>
                <w:rPr>
                  <w:rStyle w:val="InternetLink"/>
                  <w:rFonts w:ascii="Arial;sans-serif" w:hAnsi="Arial;sans-serif"/>
                  <w:b w:val="false"/>
                  <w:strike w:val="false"/>
                  <w:dstrike w:val="false"/>
                  <w:color w:val="0000FF"/>
                  <w:sz w:val="20"/>
                  <w:u w:val="none"/>
                  <w:effect w:val="none"/>
                </w:rPr>
                <w:t>15</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3.</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60">
              <w:r>
                <w:rPr>
                  <w:rStyle w:val="InternetLink"/>
                  <w:rFonts w:ascii="Arial;sans-serif" w:hAnsi="Arial;sans-serif"/>
                  <w:b w:val="false"/>
                  <w:color w:val="0000FF"/>
                  <w:sz w:val="20"/>
                  <w:u w:val="single"/>
                </w:rPr>
                <w:t>Quantitative and Qualitative Disclosures About Market Risk</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60">
              <w:r>
                <w:rPr>
                  <w:rStyle w:val="InternetLink"/>
                  <w:rFonts w:ascii="Arial;sans-serif" w:hAnsi="Arial;sans-serif"/>
                  <w:b w:val="false"/>
                  <w:strike w:val="false"/>
                  <w:dstrike w:val="false"/>
                  <w:color w:val="0000FF"/>
                  <w:sz w:val="20"/>
                  <w:u w:val="none"/>
                  <w:effect w:val="none"/>
                </w:rPr>
                <w:t>22</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4.</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63">
              <w:r>
                <w:rPr>
                  <w:rStyle w:val="InternetLink"/>
                  <w:rFonts w:ascii="Arial;sans-serif" w:hAnsi="Arial;sans-serif"/>
                  <w:b w:val="false"/>
                  <w:color w:val="0000FF"/>
                  <w:sz w:val="20"/>
                  <w:u w:val="single"/>
                </w:rPr>
                <w:t>Controls and Procedures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63">
              <w:r>
                <w:rPr>
                  <w:rStyle w:val="InternetLink"/>
                  <w:rFonts w:ascii="Arial;sans-serif" w:hAnsi="Arial;sans-serif"/>
                  <w:b w:val="false"/>
                  <w:strike w:val="false"/>
                  <w:dstrike w:val="false"/>
                  <w:color w:val="0000FF"/>
                  <w:sz w:val="20"/>
                  <w:u w:val="none"/>
                  <w:effect w:val="none"/>
                </w:rPr>
                <w:t>22</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PART II - OTHER INFORMATION</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1A.</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69">
              <w:r>
                <w:rPr>
                  <w:rStyle w:val="InternetLink"/>
                  <w:rFonts w:ascii="Arial;sans-serif" w:hAnsi="Arial;sans-serif"/>
                  <w:b w:val="false"/>
                  <w:color w:val="0000FF"/>
                  <w:sz w:val="20"/>
                  <w:u w:val="single"/>
                </w:rPr>
                <w:t>Risk Factors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69">
              <w:r>
                <w:rPr>
                  <w:rStyle w:val="InternetLink"/>
                  <w:rFonts w:ascii="Arial;sans-serif" w:hAnsi="Arial;sans-serif"/>
                  <w:b w:val="false"/>
                  <w:strike w:val="false"/>
                  <w:dstrike w:val="false"/>
                  <w:color w:val="0000FF"/>
                  <w:sz w:val="20"/>
                  <w:u w:val="none"/>
                  <w:effect w:val="none"/>
                </w:rPr>
                <w:t>23</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2.</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72">
              <w:r>
                <w:rPr>
                  <w:rStyle w:val="InternetLink"/>
                  <w:rFonts w:ascii="Arial;sans-serif" w:hAnsi="Arial;sans-serif"/>
                  <w:b w:val="false"/>
                  <w:color w:val="0000FF"/>
                  <w:sz w:val="20"/>
                  <w:u w:val="single"/>
                </w:rPr>
                <w:t>Unregistered Sales of Equity Securities and Use of Proceeds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72">
              <w:r>
                <w:rPr>
                  <w:rStyle w:val="InternetLink"/>
                  <w:rFonts w:ascii="Arial;sans-serif" w:hAnsi="Arial;sans-serif"/>
                  <w:b w:val="false"/>
                  <w:strike w:val="false"/>
                  <w:dstrike w:val="false"/>
                  <w:color w:val="0000FF"/>
                  <w:sz w:val="20"/>
                  <w:u w:val="none"/>
                  <w:effect w:val="none"/>
                </w:rPr>
                <w:t>24</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5.</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75">
              <w:r>
                <w:rPr>
                  <w:rStyle w:val="InternetLink"/>
                  <w:rFonts w:ascii="Arial;sans-serif" w:hAnsi="Arial;sans-serif"/>
                  <w:b w:val="false"/>
                  <w:color w:val="0000FF"/>
                  <w:sz w:val="20"/>
                  <w:u w:val="single"/>
                </w:rPr>
                <w:t>Other Information</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75">
              <w:r>
                <w:rPr>
                  <w:rStyle w:val="InternetLink"/>
                  <w:rFonts w:ascii="Arial;sans-serif" w:hAnsi="Arial;sans-serif"/>
                  <w:b w:val="false"/>
                  <w:strike w:val="false"/>
                  <w:dstrike w:val="false"/>
                  <w:color w:val="0000FF"/>
                  <w:sz w:val="20"/>
                  <w:u w:val="none"/>
                  <w:effect w:val="none"/>
                </w:rPr>
                <w:t>25</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6.</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78">
              <w:r>
                <w:rPr>
                  <w:rStyle w:val="InternetLink"/>
                  <w:rFonts w:ascii="Arial;sans-serif" w:hAnsi="Arial;sans-serif"/>
                  <w:b w:val="false"/>
                  <w:color w:val="0000FF"/>
                  <w:sz w:val="20"/>
                  <w:u w:val="single"/>
                </w:rPr>
                <w:t>Exhibits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79900dda054e99929d5703e88a5e90_178">
              <w:r>
                <w:rPr>
                  <w:rStyle w:val="InternetLink"/>
                  <w:rFonts w:ascii="Arial;sans-serif" w:hAnsi="Arial;sans-serif"/>
                  <w:b w:val="false"/>
                  <w:strike w:val="false"/>
                  <w:dstrike w:val="false"/>
                  <w:color w:val="0000FF"/>
                  <w:sz w:val="20"/>
                  <w:u w:val="none"/>
                  <w:effect w:val="none"/>
                </w:rPr>
                <w:t>26</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3479900dda054e99929d5703e88a5e90_184">
              <w:r>
                <w:rPr>
                  <w:rStyle w:val="InternetLink"/>
                  <w:rFonts w:ascii="Arial;sans-serif" w:hAnsi="Arial;sans-serif"/>
                  <w:b/>
                  <w:color w:val="0000FF"/>
                  <w:sz w:val="20"/>
                  <w:u w:val="single"/>
                </w:rPr>
                <w:t>SIGNATURES</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EARNINGS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 except per share amounts)</w:t>
      </w:r>
    </w:p>
    <w:tbl>
      <w:tblPr>
        <w:tblW w:w="9606" w:type="dxa"/>
        <w:jc w:val="center"/>
        <w:tblInd w:w="0" w:type="dxa"/>
        <w:tblLayout w:type="fixed"/>
        <w:tblCellMar>
          <w:top w:w="28" w:type="dxa"/>
          <w:left w:w="28" w:type="dxa"/>
          <w:bottom w:w="28" w:type="dxa"/>
          <w:right w:w="28" w:type="dxa"/>
        </w:tblCellMar>
      </w:tblPr>
      <w:tblGrid>
        <w:gridCol w:w="1109"/>
        <w:gridCol w:w="972"/>
        <w:gridCol w:w="979"/>
        <w:gridCol w:w="247"/>
        <w:gridCol w:w="1005"/>
        <w:gridCol w:w="128"/>
        <w:gridCol w:w="109"/>
        <w:gridCol w:w="109"/>
        <w:gridCol w:w="109"/>
        <w:gridCol w:w="247"/>
        <w:gridCol w:w="1005"/>
        <w:gridCol w:w="128"/>
        <w:gridCol w:w="109"/>
        <w:gridCol w:w="109"/>
        <w:gridCol w:w="109"/>
        <w:gridCol w:w="217"/>
        <w:gridCol w:w="1051"/>
        <w:gridCol w:w="112"/>
        <w:gridCol w:w="109"/>
        <w:gridCol w:w="109"/>
        <w:gridCol w:w="109"/>
        <w:gridCol w:w="217"/>
        <w:gridCol w:w="1050"/>
        <w:gridCol w:w="158"/>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586,385 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543,358 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1,717,081 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290,162 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776,960 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296,223 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289,225 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893,808 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866,488 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marketing and distribution</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162,354 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148,117 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164,721 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460,986 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168,460 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473,929 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121,561 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137,628 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389,352 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Earnings per Common Share</w:t>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Diluted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CONSOLIDATED STATEMENTS OF COMPREHENSIVE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397"/>
        <w:gridCol w:w="1219"/>
        <w:gridCol w:w="1228"/>
        <w:gridCol w:w="238"/>
        <w:gridCol w:w="971"/>
        <w:gridCol w:w="123"/>
        <w:gridCol w:w="109"/>
        <w:gridCol w:w="109"/>
        <w:gridCol w:w="109"/>
        <w:gridCol w:w="238"/>
        <w:gridCol w:w="971"/>
        <w:gridCol w:w="123"/>
        <w:gridCol w:w="109"/>
        <w:gridCol w:w="109"/>
        <w:gridCol w:w="109"/>
        <w:gridCol w:w="238"/>
        <w:gridCol w:w="971"/>
        <w:gridCol w:w="123"/>
        <w:gridCol w:w="109"/>
        <w:gridCol w:w="109"/>
        <w:gridCol w:w="109"/>
        <w:gridCol w:w="238"/>
        <w:gridCol w:w="966"/>
        <w:gridCol w:w="180"/>
      </w:tblGrid>
      <w:tr>
        <w:trPr/>
        <w:tc>
          <w:tcPr>
            <w:tcW w:w="139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384,994 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389,352 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Components of other comprehensive (loss) income</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Pension and postretirement medical </w:t>
              <w:br/>
              <w:t>liability adjustment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 pension and postretirement</w:t>
              <w:br/>
              <w:t>medical liability adjustment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(29,397)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78,743 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117,050 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139,702 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355,597 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468,095 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8372" w:type="dxa"/>
        <w:jc w:val="center"/>
        <w:tblInd w:w="0" w:type="dxa"/>
        <w:tblLayout w:type="fixed"/>
        <w:tblCellMar>
          <w:top w:w="28" w:type="dxa"/>
          <w:left w:w="28" w:type="dxa"/>
          <w:bottom w:w="28" w:type="dxa"/>
          <w:right w:w="28" w:type="dxa"/>
        </w:tblCellMar>
      </w:tblPr>
      <w:tblGrid>
        <w:gridCol w:w="1911"/>
        <w:gridCol w:w="1679"/>
        <w:gridCol w:w="1689"/>
        <w:gridCol w:w="217"/>
        <w:gridCol w:w="1051"/>
        <w:gridCol w:w="112"/>
        <w:gridCol w:w="109"/>
        <w:gridCol w:w="109"/>
        <w:gridCol w:w="109"/>
        <w:gridCol w:w="211"/>
        <w:gridCol w:w="1021"/>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less allowances of $6,700 and $6,000</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1,113,604 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769,584 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793,764 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434,292 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3,263,036 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to banks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incentives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payable</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524,056 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Benefits and Deferred Compensation</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paid-in-capital</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1,025,281 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1,276,098 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2,469,855 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Shareholders’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3,263,036 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8410" w:type="dxa"/>
        <w:jc w:val="center"/>
        <w:tblInd w:w="0" w:type="dxa"/>
        <w:tblLayout w:type="fixed"/>
        <w:tblCellMar>
          <w:top w:w="28" w:type="dxa"/>
          <w:left w:w="28" w:type="dxa"/>
          <w:bottom w:w="28" w:type="dxa"/>
          <w:right w:w="28" w:type="dxa"/>
        </w:tblCellMar>
      </w:tblPr>
      <w:tblGrid>
        <w:gridCol w:w="1911"/>
        <w:gridCol w:w="1682"/>
        <w:gridCol w:w="1686"/>
        <w:gridCol w:w="247"/>
        <w:gridCol w:w="1005"/>
        <w:gridCol w:w="128"/>
        <w:gridCol w:w="109"/>
        <w:gridCol w:w="109"/>
        <w:gridCol w:w="109"/>
        <w:gridCol w:w="246"/>
        <w:gridCol w:w="999"/>
        <w:gridCol w:w="179"/>
      </w:tblGrid>
      <w:tr>
        <w:trPr/>
        <w:tc>
          <w:tcPr>
            <w:tcW w:w="191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389,352 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w:t>
              <w:br/>
              <w:t>provided by operating activities</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building</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incentives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benefits and deferred compensation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487,262 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additions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(47,649)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building</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businesses, net of cash acquired</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(436,313)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(70,107)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(484,528)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(94,786)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short-term lines of credit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long-term lines of credit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lines of credit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(462,902)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(360,952)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paid related to net share settlement of equity awards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(145,346)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(137,764)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(457,232)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(461,019)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(484,265)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year</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624,083 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675,336 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 of period</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139,818 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618,662 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SHAREHOLDERS’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663"/>
        <w:gridCol w:w="572"/>
        <w:gridCol w:w="573"/>
        <w:gridCol w:w="211"/>
        <w:gridCol w:w="826"/>
        <w:gridCol w:w="109"/>
        <w:gridCol w:w="109"/>
        <w:gridCol w:w="109"/>
        <w:gridCol w:w="109"/>
        <w:gridCol w:w="211"/>
        <w:gridCol w:w="976"/>
        <w:gridCol w:w="109"/>
        <w:gridCol w:w="109"/>
        <w:gridCol w:w="109"/>
        <w:gridCol w:w="109"/>
        <w:gridCol w:w="221"/>
        <w:gridCol w:w="1024"/>
        <w:gridCol w:w="114"/>
        <w:gridCol w:w="109"/>
        <w:gridCol w:w="109"/>
        <w:gridCol w:w="109"/>
        <w:gridCol w:w="387"/>
        <w:gridCol w:w="1354"/>
        <w:gridCol w:w="202"/>
        <w:gridCol w:w="109"/>
        <w:gridCol w:w="109"/>
        <w:gridCol w:w="109"/>
        <w:gridCol w:w="211"/>
        <w:gridCol w:w="976"/>
        <w:gridCol w:w="158"/>
      </w:tblGrid>
      <w:tr>
        <w:trPr/>
        <w:tc>
          <w:tcPr>
            <w:tcW w:w="6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Three Months Ended September 25, 2026</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26,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1,321,745 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2,522,688 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($0.295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September 25,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1,276,098 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2,469,855 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Nine Months Ended September 25, 2026</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26,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1,456,710 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2,653,931 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(421,618)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(462,902)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($0.885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September 25,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1,276,098 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2,469,855 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Three Months Ended September 26,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27,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1,337,956 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2,501,020 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($0.275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September 26,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1,430,019 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2,609,000 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Nine Months Ended September 26,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27,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2,584,135 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389,352 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389,352 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($0.825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September 26,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1,430,019 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2,609,000 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 Basis of Preparation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consolidated balance sheet of Graco Inc. and subsidiaries (the “Company”) as of September 25, 2026 and the related statements of earnings, comprehensive income and shareholders' equity for the three and nine months ended September 25, 2026 and September 26, 2025, and cash flows for the nine months ended September 25, 2026 and September 26, 2025 have been prepared by the Company and have not been 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opinion of management, these consolidated financial statements reflect all adjustments (consisting of only normal recurring adjustments) necessary to present fairly the financial position of the Company as of September 25, 2026, and the results of operations and cash flows for all periods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information and footnote disclosures normally included in financial statements prepared in accordance with generally accepted accounting principles have been condensed or omitted. Therefore, these statements should be read in conjunction with the financial statements and notes thereto included in the Company’s Annual Report on Form 10-K for the year ended December 26, 2025 (the "2025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results of operations for interim periods are not necessarily indicative of results that will be realized for the full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 Segment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classifies its business into three reportable segments: Contractor, Industrial and Expansion Markets.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information follows (in thousands): </w:t>
      </w:r>
    </w:p>
    <w:tbl>
      <w:tblPr>
        <w:tblW w:w="9289" w:type="dxa"/>
        <w:jc w:val="left"/>
        <w:tblInd w:w="0" w:type="dxa"/>
        <w:tblLayout w:type="fixed"/>
        <w:tblCellMar>
          <w:top w:w="28" w:type="dxa"/>
          <w:left w:w="28" w:type="dxa"/>
          <w:bottom w:w="28" w:type="dxa"/>
          <w:right w:w="28" w:type="dxa"/>
        </w:tblCellMar>
      </w:tblPr>
      <w:tblGrid>
        <w:gridCol w:w="994"/>
        <w:gridCol w:w="874"/>
        <w:gridCol w:w="876"/>
        <w:gridCol w:w="247"/>
        <w:gridCol w:w="1005"/>
        <w:gridCol w:w="128"/>
        <w:gridCol w:w="109"/>
        <w:gridCol w:w="109"/>
        <w:gridCol w:w="109"/>
        <w:gridCol w:w="247"/>
        <w:gridCol w:w="1005"/>
        <w:gridCol w:w="128"/>
        <w:gridCol w:w="109"/>
        <w:gridCol w:w="109"/>
        <w:gridCol w:w="109"/>
        <w:gridCol w:w="247"/>
        <w:gridCol w:w="1005"/>
        <w:gridCol w:w="128"/>
        <w:gridCol w:w="109"/>
        <w:gridCol w:w="109"/>
        <w:gridCol w:w="109"/>
        <w:gridCol w:w="246"/>
        <w:gridCol w:w="999"/>
        <w:gridCol w:w="17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Contractor</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835,436 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806,419 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421,901 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128,030 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413,535 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390,599 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Contractor Operating Earnings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71,237 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67,873 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224,633 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205,292 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264,623 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295,996 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141,195 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416,525 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Operating Earnings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tbl>
      <w:tblPr>
        <w:tblW w:w="9839" w:type="dxa"/>
        <w:jc w:val="left"/>
        <w:tblInd w:w="0" w:type="dxa"/>
        <w:tblLayout w:type="fixed"/>
        <w:tblCellMar>
          <w:top w:w="28" w:type="dxa"/>
          <w:left w:w="28" w:type="dxa"/>
          <w:bottom w:w="28" w:type="dxa"/>
          <w:right w:w="28" w:type="dxa"/>
        </w:tblCellMar>
      </w:tblPr>
      <w:tblGrid>
        <w:gridCol w:w="1487"/>
        <w:gridCol w:w="1308"/>
        <w:gridCol w:w="131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Expansion Markets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Expansion Markets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Reportable Segment Operating Earnings Total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Geographic information follows (in thousands):</w:t>
      </w:r>
    </w:p>
    <w:tbl>
      <w:tblPr>
        <w:tblW w:w="10101" w:type="dxa"/>
        <w:jc w:val="left"/>
        <w:tblInd w:w="0" w:type="dxa"/>
        <w:tblLayout w:type="fixed"/>
        <w:tblCellMar>
          <w:top w:w="28" w:type="dxa"/>
          <w:left w:w="28" w:type="dxa"/>
          <w:bottom w:w="28" w:type="dxa"/>
          <w:right w:w="28" w:type="dxa"/>
        </w:tblCellMar>
      </w:tblPr>
      <w:tblGrid>
        <w:gridCol w:w="1287"/>
        <w:gridCol w:w="1130"/>
        <w:gridCol w:w="1138"/>
        <w:gridCol w:w="247"/>
        <w:gridCol w:w="1005"/>
        <w:gridCol w:w="128"/>
        <w:gridCol w:w="109"/>
        <w:gridCol w:w="109"/>
        <w:gridCol w:w="109"/>
        <w:gridCol w:w="247"/>
        <w:gridCol w:w="1005"/>
        <w:gridCol w:w="128"/>
        <w:gridCol w:w="109"/>
        <w:gridCol w:w="109"/>
        <w:gridCol w:w="109"/>
        <w:gridCol w:w="217"/>
        <w:gridCol w:w="1051"/>
        <w:gridCol w:w="112"/>
        <w:gridCol w:w="109"/>
        <w:gridCol w:w="109"/>
        <w:gridCol w:w="109"/>
        <w:gridCol w:w="217"/>
        <w:gridCol w:w="1050"/>
        <w:gridCol w:w="158"/>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 (based on customer location)</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United States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307,924 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922,362 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881,101 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countries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794,719 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762,347 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586,385 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543,358 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1,717,081 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1,643,448 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4752" w:type="dxa"/>
        <w:jc w:val="left"/>
        <w:tblInd w:w="0" w:type="dxa"/>
        <w:tblLayout w:type="fixed"/>
        <w:tblCellMar>
          <w:top w:w="28" w:type="dxa"/>
          <w:left w:w="28" w:type="dxa"/>
          <w:bottom w:w="28" w:type="dxa"/>
          <w:right w:w="28" w:type="dxa"/>
        </w:tblCellMar>
      </w:tblPr>
      <w:tblGrid>
        <w:gridCol w:w="608"/>
        <w:gridCol w:w="535"/>
        <w:gridCol w:w="537"/>
        <w:gridCol w:w="247"/>
        <w:gridCol w:w="1005"/>
        <w:gridCol w:w="128"/>
        <w:gridCol w:w="109"/>
        <w:gridCol w:w="109"/>
        <w:gridCol w:w="109"/>
        <w:gridCol w:w="236"/>
        <w:gridCol w:w="957"/>
        <w:gridCol w:w="172"/>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Long-lived Assets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United States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605,487 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countries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769,584 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755,064 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Inventories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Major components of inventories were as follows (in thousands):</w:t>
      </w:r>
    </w:p>
    <w:tbl>
      <w:tblPr>
        <w:tblW w:w="8246" w:type="dxa"/>
        <w:jc w:val="left"/>
        <w:tblInd w:w="0" w:type="dxa"/>
        <w:tblLayout w:type="fixed"/>
        <w:tblCellMar>
          <w:top w:w="28" w:type="dxa"/>
          <w:left w:w="28" w:type="dxa"/>
          <w:bottom w:w="28" w:type="dxa"/>
          <w:right w:w="28" w:type="dxa"/>
        </w:tblCellMar>
      </w:tblPr>
      <w:tblGrid>
        <w:gridCol w:w="1876"/>
        <w:gridCol w:w="1645"/>
        <w:gridCol w:w="1653"/>
        <w:gridCol w:w="247"/>
        <w:gridCol w:w="1005"/>
        <w:gridCol w:w="128"/>
        <w:gridCol w:w="109"/>
        <w:gridCol w:w="109"/>
        <w:gridCol w:w="109"/>
        <w:gridCol w:w="236"/>
        <w:gridCol w:w="957"/>
        <w:gridCol w:w="172"/>
      </w:tblGrid>
      <w:tr>
        <w:trPr/>
        <w:tc>
          <w:tcPr>
            <w:tcW w:w="187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products and components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175,684 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 and components in various stages of completion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 and purchased components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587,142 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516,109 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 to LIFO cost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(114,971)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463,829 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401,138 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4. Share-Based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on common shares granted and outstanding, as well as the weighted average exercise price, are shown below (in thousands, except exercise prices):</w:t>
      </w:r>
    </w:p>
    <w:tbl>
      <w:tblPr>
        <w:tblW w:w="9473" w:type="dxa"/>
        <w:jc w:val="left"/>
        <w:tblInd w:w="0" w:type="dxa"/>
        <w:tblLayout w:type="fixed"/>
        <w:tblCellMar>
          <w:top w:w="28" w:type="dxa"/>
          <w:left w:w="28" w:type="dxa"/>
          <w:bottom w:w="28" w:type="dxa"/>
          <w:right w:w="28" w:type="dxa"/>
        </w:tblCellMar>
      </w:tblPr>
      <w:tblGrid>
        <w:gridCol w:w="1103"/>
        <w:gridCol w:w="969"/>
        <w:gridCol w:w="972"/>
        <w:gridCol w:w="323"/>
        <w:gridCol w:w="323"/>
        <w:gridCol w:w="241"/>
        <w:gridCol w:w="109"/>
        <w:gridCol w:w="109"/>
        <w:gridCol w:w="109"/>
        <w:gridCol w:w="370"/>
        <w:gridCol w:w="1134"/>
        <w:gridCol w:w="191"/>
        <w:gridCol w:w="109"/>
        <w:gridCol w:w="109"/>
        <w:gridCol w:w="109"/>
        <w:gridCol w:w="375"/>
        <w:gridCol w:w="375"/>
        <w:gridCol w:w="376"/>
        <w:gridCol w:w="109"/>
        <w:gridCol w:w="109"/>
        <w:gridCol w:w="109"/>
        <w:gridCol w:w="363"/>
        <w:gridCol w:w="1112"/>
        <w:gridCol w:w="265"/>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Option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Options</w:t>
              <w:b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Weighted Average</w:t>
              <w:br/>
              <w:t>Exercise Price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December 26,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September 25,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recognized year-to-date share-based compensation of $24 million in 2026 and $25 million in 2025. As of September 25, 2026, there was $29 million of unrecognized compensation cost related to unvested options, expected to be recognized over a weighted average period of 2.6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of each option grant is estimated on the date of grant using the Black-Scholes option pricing model with the following weighted average assumptions and results:</w:t>
      </w:r>
    </w:p>
    <w:tbl>
      <w:tblPr>
        <w:tblW w:w="6535" w:type="dxa"/>
        <w:jc w:val="left"/>
        <w:tblInd w:w="0" w:type="dxa"/>
        <w:tblLayout w:type="fixed"/>
        <w:tblCellMar>
          <w:top w:w="28" w:type="dxa"/>
          <w:left w:w="28" w:type="dxa"/>
          <w:bottom w:w="28" w:type="dxa"/>
          <w:right w:w="28" w:type="dxa"/>
        </w:tblCellMar>
      </w:tblPr>
      <w:tblGrid>
        <w:gridCol w:w="1231"/>
        <w:gridCol w:w="1084"/>
        <w:gridCol w:w="1089"/>
        <w:gridCol w:w="254"/>
        <w:gridCol w:w="780"/>
        <w:gridCol w:w="345"/>
        <w:gridCol w:w="109"/>
        <w:gridCol w:w="109"/>
        <w:gridCol w:w="109"/>
        <w:gridCol w:w="253"/>
        <w:gridCol w:w="775"/>
        <w:gridCol w:w="397"/>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rate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Volatility</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Dividend yield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fair value per share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Company’s Employee Stock Purchase Plan, the Company issued 235,000 shares in 2026 and 257,000 shares in 2025. The fair value of the employees’ purchase rights under this plan was estimated on the date of grant. The benefit of the 15 percent discount from the lesser of the fair market value per common share on the first day and the last day of the plan year was added to the fair value of the employees’ purchase rights determined using the Black-Scholes option pricing model with the following assumptions and results:</w:t>
      </w:r>
    </w:p>
    <w:tbl>
      <w:tblPr>
        <w:tblW w:w="6535" w:type="dxa"/>
        <w:jc w:val="left"/>
        <w:tblInd w:w="0" w:type="dxa"/>
        <w:tblLayout w:type="fixed"/>
        <w:tblCellMar>
          <w:top w:w="28" w:type="dxa"/>
          <w:left w:w="28" w:type="dxa"/>
          <w:bottom w:w="28" w:type="dxa"/>
          <w:right w:w="28" w:type="dxa"/>
        </w:tblCellMar>
      </w:tblPr>
      <w:tblGrid>
        <w:gridCol w:w="1231"/>
        <w:gridCol w:w="1084"/>
        <w:gridCol w:w="1089"/>
        <w:gridCol w:w="254"/>
        <w:gridCol w:w="780"/>
        <w:gridCol w:w="345"/>
        <w:gridCol w:w="109"/>
        <w:gridCol w:w="109"/>
        <w:gridCol w:w="109"/>
        <w:gridCol w:w="253"/>
        <w:gridCol w:w="775"/>
        <w:gridCol w:w="397"/>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rate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Volatility</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Dividend yield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fair value per share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5. Earnings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1565"/>
        <w:gridCol w:w="1298"/>
        <w:gridCol w:w="1305"/>
        <w:gridCol w:w="224"/>
        <w:gridCol w:w="911"/>
        <w:gridCol w:w="116"/>
        <w:gridCol w:w="109"/>
        <w:gridCol w:w="109"/>
        <w:gridCol w:w="109"/>
        <w:gridCol w:w="224"/>
        <w:gridCol w:w="911"/>
        <w:gridCol w:w="116"/>
        <w:gridCol w:w="109"/>
        <w:gridCol w:w="109"/>
        <w:gridCol w:w="109"/>
        <w:gridCol w:w="224"/>
        <w:gridCol w:w="911"/>
        <w:gridCol w:w="116"/>
        <w:gridCol w:w="109"/>
        <w:gridCol w:w="109"/>
        <w:gridCol w:w="109"/>
        <w:gridCol w:w="224"/>
        <w:gridCol w:w="909"/>
        <w:gridCol w:w="170"/>
      </w:tblGrid>
      <w:tr>
        <w:trPr/>
        <w:tc>
          <w:tcPr>
            <w:tcW w:w="156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earnings available to common shareholders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389,352 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basic earnings per share</w:t>
            </w:r>
          </w:p>
        </w:tc>
        <w:tc>
          <w:tcPr>
            <w:tcW w:w="11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161,075 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165,733 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163,473 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166,693 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computed using the treasury stock method and the average market price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diluted earnings per share</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168,623 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169,589 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shares not included in diluted earnings per share computation</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6. Retirement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net periodic benefit cost for retirement benefit plans were as follows (in thousands):</w:t>
      </w:r>
    </w:p>
    <w:tbl>
      <w:tblPr>
        <w:tblW w:w="9437" w:type="dxa"/>
        <w:jc w:val="left"/>
        <w:tblInd w:w="0" w:type="dxa"/>
        <w:tblLayout w:type="fixed"/>
        <w:tblCellMar>
          <w:top w:w="28" w:type="dxa"/>
          <w:left w:w="28" w:type="dxa"/>
          <w:bottom w:w="28" w:type="dxa"/>
          <w:right w:w="28" w:type="dxa"/>
        </w:tblCellMar>
      </w:tblPr>
      <w:tblGrid>
        <w:gridCol w:w="1046"/>
        <w:gridCol w:w="919"/>
        <w:gridCol w:w="929"/>
        <w:gridCol w:w="362"/>
        <w:gridCol w:w="829"/>
        <w:gridCol w:w="189"/>
        <w:gridCol w:w="109"/>
        <w:gridCol w:w="109"/>
        <w:gridCol w:w="109"/>
        <w:gridCol w:w="300"/>
        <w:gridCol w:w="922"/>
        <w:gridCol w:w="157"/>
        <w:gridCol w:w="109"/>
        <w:gridCol w:w="109"/>
        <w:gridCol w:w="109"/>
        <w:gridCol w:w="300"/>
        <w:gridCol w:w="922"/>
        <w:gridCol w:w="157"/>
        <w:gridCol w:w="109"/>
        <w:gridCol w:w="109"/>
        <w:gridCol w:w="109"/>
        <w:gridCol w:w="296"/>
        <w:gridCol w:w="910"/>
        <w:gridCol w:w="218"/>
      </w:tblGrid>
      <w:tr>
        <w:trPr/>
        <w:tc>
          <w:tcPr>
            <w:tcW w:w="10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Pension Benefits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Service cost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cost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Amortization and other</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(credit) cost</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Postretirement Medical</w:t>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Service cost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cost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Amortization</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(credit) cost</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7. Receivables and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receivable includes trade receivables of $428 million and other receivables of $18 million as of September 25, 2026, and $376 million and $18 million of trade receivables and other receivables as of December 26,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Allowance for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is a summary of activity for credit losses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66"/>
        <w:gridCol w:w="1245"/>
        <w:gridCol w:w="1250"/>
        <w:gridCol w:w="284"/>
        <w:gridCol w:w="874"/>
        <w:gridCol w:w="149"/>
        <w:gridCol w:w="109"/>
        <w:gridCol w:w="109"/>
        <w:gridCol w:w="109"/>
        <w:gridCol w:w="284"/>
        <w:gridCol w:w="874"/>
        <w:gridCol w:w="149"/>
        <w:gridCol w:w="109"/>
        <w:gridCol w:w="109"/>
        <w:gridCol w:w="109"/>
        <w:gridCol w:w="284"/>
        <w:gridCol w:w="874"/>
        <w:gridCol w:w="149"/>
        <w:gridCol w:w="109"/>
        <w:gridCol w:w="109"/>
        <w:gridCol w:w="109"/>
        <w:gridCol w:w="278"/>
        <w:gridCol w:w="854"/>
        <w:gridCol w:w="210"/>
      </w:tblGrid>
      <w:tr>
        <w:trPr/>
        <w:tc>
          <w:tcPr>
            <w:tcW w:w="146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(Reversals) additions charged to costs and expenses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20"/>
              </w:rPr>
              <w:t xml:space="preserve">Deductions from reserves </w:t>
            </w:r>
            <w:r>
              <w:rPr>
                <w:rFonts w:ascii="Arial;sans-serif" w:hAnsi="Arial;sans-serif"/>
                <w:b w:val="false"/>
                <w:color w:val="000000"/>
                <w:sz w:val="13"/>
              </w:rPr>
              <w:t>(1)</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20"/>
              </w:rPr>
              <w:t xml:space="preserve">Other (deductions) additions </w:t>
            </w:r>
            <w:r>
              <w:rPr>
                <w:rFonts w:ascii="Arial;sans-serif" w:hAnsi="Arial;sans-serif"/>
                <w:b w:val="false"/>
                <w:color w:val="000000"/>
                <w:sz w:val="13"/>
              </w:rPr>
              <w:t>(2)</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ending</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    Represents amounts determined to be uncollectible and charged against reserves, net of collections on accounts previously charged against reserves.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 Includes effects of foreign currency translation.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8.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Components of other intangible assets were as follows (dollars in thousands):</w:t>
      </w:r>
    </w:p>
    <w:tbl>
      <w:tblPr>
        <w:tblW w:w="10205" w:type="dxa"/>
        <w:jc w:val="left"/>
        <w:tblInd w:w="0" w:type="dxa"/>
        <w:tblLayout w:type="fixed"/>
        <w:tblCellMar>
          <w:top w:w="28" w:type="dxa"/>
          <w:left w:w="28" w:type="dxa"/>
          <w:bottom w:w="28" w:type="dxa"/>
          <w:right w:w="28" w:type="dxa"/>
        </w:tblCellMar>
      </w:tblPr>
      <w:tblGrid>
        <w:gridCol w:w="978"/>
        <w:gridCol w:w="859"/>
        <w:gridCol w:w="864"/>
        <w:gridCol w:w="228"/>
        <w:gridCol w:w="928"/>
        <w:gridCol w:w="120"/>
        <w:gridCol w:w="109"/>
        <w:gridCol w:w="109"/>
        <w:gridCol w:w="109"/>
        <w:gridCol w:w="225"/>
        <w:gridCol w:w="809"/>
        <w:gridCol w:w="117"/>
        <w:gridCol w:w="109"/>
        <w:gridCol w:w="109"/>
        <w:gridCol w:w="109"/>
        <w:gridCol w:w="277"/>
        <w:gridCol w:w="851"/>
        <w:gridCol w:w="143"/>
        <w:gridCol w:w="109"/>
        <w:gridCol w:w="109"/>
        <w:gridCol w:w="109"/>
        <w:gridCol w:w="227"/>
        <w:gridCol w:w="926"/>
        <w:gridCol w:w="117"/>
        <w:gridCol w:w="109"/>
        <w:gridCol w:w="109"/>
        <w:gridCol w:w="109"/>
        <w:gridCol w:w="211"/>
        <w:gridCol w:w="856"/>
        <w:gridCol w:w="161"/>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Finite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Indefinite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Customer</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Patents and</w:t>
              <w:br/>
              <w:t>Proprietary</w:t>
              <w:br/>
              <w:t>Technology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Trademarks,</w:t>
              <w:br/>
              <w:t>Trade Names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Trade </w:t>
              <w:br/>
              <w:t>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September 25, 2026</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300,762 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512,253 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Book value</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232,474 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434,292 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life in years</w:t>
            </w:r>
          </w:p>
        </w:tc>
        <w:tc>
          <w:tcPr>
            <w:tcW w:w="12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63" w:type="dxa"/>
        <w:jc w:val="left"/>
        <w:tblInd w:w="0" w:type="dxa"/>
        <w:tblLayout w:type="fixed"/>
        <w:tblCellMar>
          <w:top w:w="28" w:type="dxa"/>
          <w:left w:w="28" w:type="dxa"/>
          <w:bottom w:w="28" w:type="dxa"/>
          <w:right w:w="28" w:type="dxa"/>
        </w:tblCellMar>
      </w:tblPr>
      <w:tblGrid>
        <w:gridCol w:w="994"/>
        <w:gridCol w:w="873"/>
        <w:gridCol w:w="878"/>
        <w:gridCol w:w="211"/>
        <w:gridCol w:w="856"/>
        <w:gridCol w:w="109"/>
        <w:gridCol w:w="109"/>
        <w:gridCol w:w="109"/>
        <w:gridCol w:w="109"/>
        <w:gridCol w:w="211"/>
        <w:gridCol w:w="751"/>
        <w:gridCol w:w="109"/>
        <w:gridCol w:w="109"/>
        <w:gridCol w:w="109"/>
        <w:gridCol w:w="109"/>
        <w:gridCol w:w="211"/>
        <w:gridCol w:w="646"/>
        <w:gridCol w:w="109"/>
        <w:gridCol w:w="109"/>
        <w:gridCol w:w="109"/>
        <w:gridCol w:w="109"/>
        <w:gridCol w:w="211"/>
        <w:gridCol w:w="856"/>
        <w:gridCol w:w="109"/>
        <w:gridCol w:w="109"/>
        <w:gridCol w:w="109"/>
        <w:gridCol w:w="109"/>
        <w:gridCol w:w="211"/>
        <w:gridCol w:w="85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26, 2025</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Book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life in years</w:t>
            </w:r>
          </w:p>
        </w:tc>
        <w:tc>
          <w:tcPr>
            <w:tcW w:w="11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of acquired and other intangible assets for the year to date was $20 million in both 2025 and 2026. Estimated annual amortization expense based on the current carrying amount of other intangible assets is as follows (in thousands):</w:t>
      </w:r>
    </w:p>
    <w:tbl>
      <w:tblPr>
        <w:tblW w:w="10205" w:type="dxa"/>
        <w:jc w:val="left"/>
        <w:tblInd w:w="0" w:type="dxa"/>
        <w:tblLayout w:type="fixed"/>
        <w:tblCellMar>
          <w:top w:w="28" w:type="dxa"/>
          <w:left w:w="28" w:type="dxa"/>
          <w:bottom w:w="28" w:type="dxa"/>
          <w:right w:w="28" w:type="dxa"/>
        </w:tblCellMar>
      </w:tblPr>
      <w:tblGrid>
        <w:gridCol w:w="648"/>
        <w:gridCol w:w="570"/>
        <w:gridCol w:w="573"/>
        <w:gridCol w:w="249"/>
        <w:gridCol w:w="891"/>
        <w:gridCol w:w="130"/>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856"/>
        <w:gridCol w:w="158"/>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 (Remainder)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Thereafter</w:t>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Amortization Expense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the carrying amount of goodwill for each reportable segment were as follows (in thousands): </w:t>
      </w:r>
    </w:p>
    <w:tbl>
      <w:tblPr>
        <w:tblW w:w="10205" w:type="dxa"/>
        <w:jc w:val="left"/>
        <w:tblInd w:w="0" w:type="dxa"/>
        <w:tblLayout w:type="fixed"/>
        <w:tblCellMar>
          <w:top w:w="28" w:type="dxa"/>
          <w:left w:w="28" w:type="dxa"/>
          <w:bottom w:w="28" w:type="dxa"/>
          <w:right w:w="28" w:type="dxa"/>
        </w:tblCellMar>
      </w:tblPr>
      <w:tblGrid>
        <w:gridCol w:w="1468"/>
        <w:gridCol w:w="1252"/>
        <w:gridCol w:w="1257"/>
        <w:gridCol w:w="211"/>
        <w:gridCol w:w="856"/>
        <w:gridCol w:w="109"/>
        <w:gridCol w:w="109"/>
        <w:gridCol w:w="109"/>
        <w:gridCol w:w="109"/>
        <w:gridCol w:w="211"/>
        <w:gridCol w:w="856"/>
        <w:gridCol w:w="109"/>
        <w:gridCol w:w="109"/>
        <w:gridCol w:w="109"/>
        <w:gridCol w:w="109"/>
        <w:gridCol w:w="329"/>
        <w:gridCol w:w="1173"/>
        <w:gridCol w:w="169"/>
        <w:gridCol w:w="109"/>
        <w:gridCol w:w="109"/>
        <w:gridCol w:w="109"/>
        <w:gridCol w:w="211"/>
        <w:gridCol w:w="856"/>
        <w:gridCol w:w="157"/>
      </w:tblGrid>
      <w:tr>
        <w:trPr/>
        <w:tc>
          <w:tcPr>
            <w:tcW w:w="146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Contractor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71,466 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adjustments from business acquisitions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September 25,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71,466 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793,764 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9. Other Current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other current liabilities were as follows (in thousands):</w:t>
      </w:r>
    </w:p>
    <w:tbl>
      <w:tblPr>
        <w:tblW w:w="6822" w:type="dxa"/>
        <w:jc w:val="left"/>
        <w:tblInd w:w="0" w:type="dxa"/>
        <w:tblLayout w:type="fixed"/>
        <w:tblCellMar>
          <w:top w:w="28" w:type="dxa"/>
          <w:left w:w="28" w:type="dxa"/>
          <w:bottom w:w="28" w:type="dxa"/>
          <w:right w:w="28" w:type="dxa"/>
        </w:tblCellMar>
      </w:tblPr>
      <w:tblGrid>
        <w:gridCol w:w="1359"/>
        <w:gridCol w:w="1194"/>
        <w:gridCol w:w="1197"/>
        <w:gridCol w:w="247"/>
        <w:gridCol w:w="1005"/>
        <w:gridCol w:w="128"/>
        <w:gridCol w:w="109"/>
        <w:gridCol w:w="109"/>
        <w:gridCol w:w="109"/>
        <w:gridCol w:w="236"/>
        <w:gridCol w:w="957"/>
        <w:gridCol w:w="172"/>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self-insurance retentions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warranty and service liabilities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trade promotions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Payable for employee stock purchases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Customer advances and deferred revenue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taxes payable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payable, other</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return refund liability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lease liabilities, current </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242,163 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241,867 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liability is established for estimated future warranty and service claims that relate to current and prior period sales. The Company estimates warranty costs based on historical claim experience and other factors, including evaluating specific product warranty issues. Following is a summary of activity in accrued warranty and service liabilities (in thousands):</w:t>
      </w:r>
    </w:p>
    <w:tbl>
      <w:tblPr>
        <w:tblW w:w="3921" w:type="dxa"/>
        <w:jc w:val="left"/>
        <w:tblInd w:w="0" w:type="dxa"/>
        <w:tblLayout w:type="fixed"/>
        <w:tblCellMar>
          <w:top w:w="28" w:type="dxa"/>
          <w:left w:w="28" w:type="dxa"/>
          <w:bottom w:w="28" w:type="dxa"/>
          <w:right w:w="28" w:type="dxa"/>
        </w:tblCellMar>
      </w:tblPr>
      <w:tblGrid>
        <w:gridCol w:w="1016"/>
        <w:gridCol w:w="893"/>
        <w:gridCol w:w="896"/>
        <w:gridCol w:w="211"/>
        <w:gridCol w:w="751"/>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26,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Charged to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Margin on parts sales reversed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claims settled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September 25,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Customer Advances and Deferred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is deferred when cash payments are received or due in advance of performance, including amounts which are refundable. This is also the case for services associated with certain product sales. During the three and nine months ended September 25, 2026, the Company recognized $18 million and $81 million, respectively, that was included in deferred revenue at December 26, 2025. During the three and nine months ended September 26, 2025, the Company recognized $4 million and $50 million, respectively, that was included in deferred revenue at December 27,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10. Fair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and liabilities measured at fair value on a recurring basis and fair value measurement level were as follows (in thousands):</w:t>
      </w:r>
    </w:p>
    <w:tbl>
      <w:tblPr>
        <w:tblW w:w="7374" w:type="dxa"/>
        <w:jc w:val="left"/>
        <w:tblInd w:w="0" w:type="dxa"/>
        <w:tblLayout w:type="fixed"/>
        <w:tblCellMar>
          <w:top w:w="28" w:type="dxa"/>
          <w:left w:w="28" w:type="dxa"/>
          <w:bottom w:w="28" w:type="dxa"/>
          <w:right w:w="28" w:type="dxa"/>
        </w:tblCellMar>
      </w:tblPr>
      <w:tblGrid>
        <w:gridCol w:w="1229"/>
        <w:gridCol w:w="1080"/>
        <w:gridCol w:w="1095"/>
        <w:gridCol w:w="190"/>
        <w:gridCol w:w="190"/>
        <w:gridCol w:w="191"/>
        <w:gridCol w:w="109"/>
        <w:gridCol w:w="109"/>
        <w:gridCol w:w="109"/>
        <w:gridCol w:w="272"/>
        <w:gridCol w:w="968"/>
        <w:gridCol w:w="140"/>
        <w:gridCol w:w="109"/>
        <w:gridCol w:w="109"/>
        <w:gridCol w:w="109"/>
        <w:gridCol w:w="258"/>
        <w:gridCol w:w="919"/>
        <w:gridCol w:w="188"/>
      </w:tblGrid>
      <w:tr>
        <w:trPr/>
        <w:tc>
          <w:tcPr>
            <w:tcW w:w="122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surrender value of life insurance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Forward exchange contracts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at fair value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Forward exchange contracts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at fair value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Contracts insuring the lives of certain employees who are eligible to participate in certain non-qualified pension and deferred compensation plans are held in trust. Cash surrender value of the contracts is based on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measurement funds that shadow the deferral investment allocations made by participants in certain deferred compensation plans. The deferred compensation liability balances are valued based on amounts allocated by participants to the underlying performance measurement funds.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Contingent consideration liabilities represent the estimated value (using a probability-weighted expected return approach) of future payments to be made to previous owners of certain acquired businesses based on future 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of variable rate borrowings approximates carrying value. The Company uses significant other observable inputs to estimate fair value (level 2 of the fair value hierarchy) based on the present value of future cash flows and rates that would be available for issuance of debt with similar terms and remaining maturities.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11. Acquisitions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August 31, 2026, the Company acquired Valco Cincinnati LLC and certain affiliated entities (collectively "Valco Melton"). Under the terms of the purchase agreement, the purchase price of $447 million was adjusted for cash acquired, estimated unpaid pre-close liabilities of the selling shareholders and estimated excess working capital. The acquisition was completed for the total cash consideration of approximately $462 million, subject to normal post-closing purchase price adjustments. The purchase price was funded with cash on hand and borrowings under the Company's revolving credit facility. Valco Melton is a global provider of adhesive application and quality assurance systems. The acquired business expands and complements the Company’s Industrial segment.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Results of operations for Valco Melton have been included in the Company's Industrial segment since the acquisition date and included sales of $12 million and operating losses of $5 million for the period ended September 25, 2026. As of September 25, 2026, the purchase price allocation remains preliminary as the Company completes its assessment of certain acquired assets and assumed liabilities, principally related to the valuation of intangible assets, income taxes and the finalization of post-closing purchase price adjustments. Based on the preliminary purchase price allocation, the Company recorded goodwill of $220 million and intangible assets of $159 million. Identifiable intangible assets include $33 million related to indefinite-lived trade names and $126 million related to amortizable intangible assets with estimated useful lives ranging from 0.5 to 15 years. The preliminary amounts recognized are subject to adjustment during the measurement period as additional information becomes available and valuations are finalized. Such adjustments may be material to the amounts allocated to acquired assets and liabilities, including goodwill. The purchase price allocation is expected to be finalized as soon as practicable, but no later than one year from the acquisition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Consideration transferred was preliminarily allocated to assets acquired and liabilities assumed based on estimated fair values as follows (in thousands):</w:t>
      </w:r>
    </w:p>
    <w:p>
      <w:pPr>
        <w:pStyle w:val="TextBody"/>
        <w:bidi w:val="0"/>
        <w:spacing w:before="0" w:after="0"/>
        <w:jc w:val="left"/>
        <w:rPr/>
      </w:pPr>
      <w:r>
        <w:rPr/>
      </w:r>
    </w:p>
    <w:tbl>
      <w:tblPr>
        <w:tblW w:w="3950" w:type="dxa"/>
        <w:jc w:val="left"/>
        <w:tblInd w:w="0" w:type="dxa"/>
        <w:tblLayout w:type="fixed"/>
        <w:tblCellMar>
          <w:top w:w="28" w:type="dxa"/>
          <w:left w:w="28" w:type="dxa"/>
          <w:bottom w:w="28" w:type="dxa"/>
          <w:right w:w="28" w:type="dxa"/>
        </w:tblCellMar>
      </w:tblPr>
      <w:tblGrid>
        <w:gridCol w:w="987"/>
        <w:gridCol w:w="869"/>
        <w:gridCol w:w="873"/>
        <w:gridCol w:w="211"/>
        <w:gridCol w:w="85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assets acquired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461,985 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Goodwill recognized from the Valco Melton acquisition primarily reflects an intangible asset that does not qualify for separate recognition. Approximately $150 million of goodwill acquired with Valco Melton is deductible for tax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unaudited pro forma information provides the results of operations for the periods ended September 25, 2026 and September 26, 2025, as if the acquisition of Valco Melton had been completed at the beginning of fiscal year 2025 (in thousands, except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tbl>
      <w:tblPr>
        <w:tblW w:w="8954" w:type="dxa"/>
        <w:jc w:val="left"/>
        <w:tblInd w:w="0" w:type="dxa"/>
        <w:tblLayout w:type="fixed"/>
        <w:tblCellMar>
          <w:top w:w="28" w:type="dxa"/>
          <w:left w:w="28" w:type="dxa"/>
          <w:bottom w:w="28" w:type="dxa"/>
          <w:right w:w="28" w:type="dxa"/>
        </w:tblCellMar>
      </w:tblPr>
      <w:tblGrid>
        <w:gridCol w:w="635"/>
        <w:gridCol w:w="557"/>
        <w:gridCol w:w="562"/>
        <w:gridCol w:w="247"/>
        <w:gridCol w:w="1005"/>
        <w:gridCol w:w="128"/>
        <w:gridCol w:w="109"/>
        <w:gridCol w:w="109"/>
        <w:gridCol w:w="109"/>
        <w:gridCol w:w="247"/>
        <w:gridCol w:w="1005"/>
        <w:gridCol w:w="128"/>
        <w:gridCol w:w="109"/>
        <w:gridCol w:w="109"/>
        <w:gridCol w:w="109"/>
        <w:gridCol w:w="217"/>
        <w:gridCol w:w="1051"/>
        <w:gridCol w:w="112"/>
        <w:gridCol w:w="109"/>
        <w:gridCol w:w="109"/>
        <w:gridCol w:w="109"/>
        <w:gridCol w:w="217"/>
        <w:gridCol w:w="1051"/>
        <w:gridCol w:w="112"/>
        <w:gridCol w:w="109"/>
        <w:gridCol w:w="10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611,271 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581,294 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1,824,031 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1,749,917 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395,192 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unaudited pro forma information includes the impact of intangible asset amortization of approximately $6 million in 2026 and $9 million in 2025. The nine months ended September 25, 2026, excludes the impact of $6 million of transaction-related expenses and non-recurring expense, related to the fair value adjustment to acquisition-date inventory. The nine months ended September 26, 2025 was adjusted to include transaction-related expenses and nonrecurring expenses related to the fair value adjustment to acquisition-date inventory. The information also reflects the pro forma cost of foregone interest income but does not reflect the effect of any synergies or integration costs that may result from the acquisition.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 pro forma information has been provided for comparative purposes only and the information does not necessarily reflect what the combined Company's results of operations would have been had the Valco Melton acquisition occurred at the beginning of fiscal year 2025. It also may not be useful in predicting the future results of operations of the combined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Subsequent to the end of the third quarter, the Company completed the acquisition of a business that is not material to the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Item 2. GRACO INC.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MANAGEMENT'S DISCUSSION AND ANALYSIS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supplies technology and expertise for the management of fluids and coatings in both industrial and commercial applications. It designs, manufactures and markets systems and equipment to move, measure, control, dispense and spray fluid and coating materials. Management classifies the Company’s business into three reportable segments: Contractor, Industrial and Expansion Markets. Key strategies include developing and marketing new products, leveraging products and technologies into additional, growing end-user markets, expanding distribution globally and completing strategic acquisitions that provide additional channels and technologies.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Management’s Discussion and Analysis reviews significant factors affecting the Company’s results of operations and financial condition. This discussion should be read in conjunction with the consolidated financial statements and the accompanying 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Tariffs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20, 2026, the U.S. Supreme Court issued a decision invalidating certain tariffs imposed under the International Emergency Economic Powers Act ("IEEPA"). The U.S. Court of International Trade subsequently issued orders directing the U.S. Customs and Border Protection to refund previously collected IEEPA tariffs. Given the significant uncertainty involved, the Company determined to only recognize IEEPA tariff refunds upon receipt. The Company began receiving IEEPA tariff refunds during the second quarter of 2026. Through the nine months ended September 25, 2026, the Company received $9 million in refunds, net of related surcharges.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Consolidated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financial results follows (in millions except per share amounts):</w:t>
      </w:r>
    </w:p>
    <w:tbl>
      <w:tblPr>
        <w:tblW w:w="10205" w:type="dxa"/>
        <w:jc w:val="left"/>
        <w:tblInd w:w="0" w:type="dxa"/>
        <w:tblLayout w:type="fixed"/>
        <w:tblCellMar>
          <w:top w:w="28" w:type="dxa"/>
          <w:left w:w="28" w:type="dxa"/>
          <w:bottom w:w="28" w:type="dxa"/>
          <w:right w:w="28" w:type="dxa"/>
        </w:tblCellMar>
      </w:tblPr>
      <w:tblGrid>
        <w:gridCol w:w="991"/>
        <w:gridCol w:w="853"/>
        <w:gridCol w:w="785"/>
        <w:gridCol w:w="211"/>
        <w:gridCol w:w="646"/>
        <w:gridCol w:w="109"/>
        <w:gridCol w:w="109"/>
        <w:gridCol w:w="109"/>
        <w:gridCol w:w="109"/>
        <w:gridCol w:w="211"/>
        <w:gridCol w:w="646"/>
        <w:gridCol w:w="109"/>
        <w:gridCol w:w="109"/>
        <w:gridCol w:w="109"/>
        <w:gridCol w:w="109"/>
        <w:gridCol w:w="202"/>
        <w:gridCol w:w="202"/>
        <w:gridCol w:w="470"/>
        <w:gridCol w:w="109"/>
        <w:gridCol w:w="109"/>
        <w:gridCol w:w="109"/>
        <w:gridCol w:w="211"/>
        <w:gridCol w:w="811"/>
        <w:gridCol w:w="109"/>
        <w:gridCol w:w="109"/>
        <w:gridCol w:w="109"/>
        <w:gridCol w:w="109"/>
        <w:gridCol w:w="211"/>
        <w:gridCol w:w="811"/>
        <w:gridCol w:w="109"/>
        <w:gridCol w:w="109"/>
        <w:gridCol w:w="109"/>
        <w:gridCol w:w="109"/>
        <w:gridCol w:w="172"/>
        <w:gridCol w:w="172"/>
        <w:gridCol w:w="529"/>
      </w:tblGrid>
      <w:tr>
        <w:trPr/>
        <w:tc>
          <w:tcPr>
            <w:tcW w:w="99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 Change</w:t>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Operating Earnings, adjusted </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Net Earnings, adjusted </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Diluted Net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Diluted Net Earnings per Common Share, adjusted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80" w:after="283"/>
        <w:ind w:left="0" w:right="0" w:hanging="270"/>
        <w:jc w:val="left"/>
        <w:rPr/>
      </w:pPr>
      <w:r>
        <w:rPr>
          <w:rFonts w:ascii="Arial;sans-serif" w:hAnsi="Arial;sans-serif"/>
          <w:b w:val="false"/>
          <w:color w:val="000000"/>
          <w:sz w:val="18"/>
        </w:rPr>
        <w:t>(1)</w:t>
      </w:r>
      <w:r>
        <w:rPr>
          <w:color w:val="000000"/>
        </w:rPr>
        <w:t xml:space="preserve"> </w:t>
      </w:r>
      <w:r>
        <w:rPr>
          <w:rFonts w:ascii="Arial;sans-serif" w:hAnsi="Arial;sans-serif"/>
          <w:b w:val="false"/>
          <w:color w:val="000000"/>
          <w:sz w:val="18"/>
        </w:rPr>
        <w:t>The adjusted measures of operating earnings, net earnings and diluted net earnings per common share reflect the Company's updated non-GAAP methodology introduced in the second quarter of 2026. See below for a reconciliation of GAAP to non-GAAP measurements.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sales for the third quarter increased by 8 percent, with 4 percentage points of organic sales growth and 4 percentage points of sales growth from acquired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earnings decreased 10 percent for the third quarter, primarily due to a non-cash gain of $14 million from the reduction in fair value of acquisition-related contingent consideration in the prior year that did not repeat. Adjusted operating earnings increased 1 percent, as price realization offset higher product costs in the quarter.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earnings decreased 12 percent for the third quarter, related to lower operating earnings and a higher effective tax rate. Adjusted net earnings increased 2 percent.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Beginning in the second quarter of 2026, the Company updated its non-GAAP adjusted measurements to exclude acquisition costs and amortization of acquired intangible assets. The Company excludes acquisition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of acquired intangible assets to provide a consistent comparison of operating results across reporting periods. While the Company has a history of acquisition activity, the Company's acquisitions do not occur on a predictable cycle, and transactions vary in complexity, timing, size and nature. Acquisition costs include third-party legal, valuation, consulting and other incremental costs incurred in connection with acquisition activities as well as purchase accounting adjustments. Management uses these adjusted measures to evaluate operating performance and, for acquisition costs, in determining incentive compensation. These excluded items to the non-GAAP adjusted measurements provide supplemental information useful in evaluating the Company's underlying operating performance. Prior-period amounts have been recast to conform to the current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Excluding the impact of acquisition costs, amortization of acquired intangible assets, the related income tax effects of these items and excess tax benefits from stock option exercises presents a more consistent basis for comparison of financial results. A calculation of the non-GAAP adjusted measurements of operating earnings, earnings before income taxes, income taxes, effective income tax rate, net earnings and diluted earnings per share follows (in millions except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80"/>
        <w:gridCol w:w="1224"/>
        <w:gridCol w:w="1226"/>
        <w:gridCol w:w="241"/>
        <w:gridCol w:w="741"/>
        <w:gridCol w:w="328"/>
        <w:gridCol w:w="109"/>
        <w:gridCol w:w="109"/>
        <w:gridCol w:w="109"/>
        <w:gridCol w:w="241"/>
        <w:gridCol w:w="741"/>
        <w:gridCol w:w="328"/>
        <w:gridCol w:w="109"/>
        <w:gridCol w:w="109"/>
        <w:gridCol w:w="109"/>
        <w:gridCol w:w="241"/>
        <w:gridCol w:w="741"/>
        <w:gridCol w:w="328"/>
        <w:gridCol w:w="109"/>
        <w:gridCol w:w="109"/>
        <w:gridCol w:w="109"/>
        <w:gridCol w:w="241"/>
        <w:gridCol w:w="738"/>
        <w:gridCol w:w="385"/>
      </w:tblGrid>
      <w:tr>
        <w:trPr/>
        <w:tc>
          <w:tcPr>
            <w:tcW w:w="148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 adjusted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474.5 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 as reported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 adjusted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as reported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amortization of acquired intangible assets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tax benefit from option exercises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adjusted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As reported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Adjusted</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as reported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 net of tax</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 net of tax</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tax benefit from option exercises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adjusted</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387.2 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Diluted Shares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As reported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Adjusted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an overview of components of net earnings as a percentage of net sales:</w:t>
      </w:r>
    </w:p>
    <w:tbl>
      <w:tblPr>
        <w:tblW w:w="10090" w:type="dxa"/>
        <w:jc w:val="left"/>
        <w:tblInd w:w="0" w:type="dxa"/>
        <w:tblLayout w:type="fixed"/>
        <w:tblCellMar>
          <w:top w:w="28" w:type="dxa"/>
          <w:left w:w="28" w:type="dxa"/>
          <w:bottom w:w="28" w:type="dxa"/>
          <w:right w:w="28" w:type="dxa"/>
        </w:tblCellMar>
      </w:tblPr>
      <w:tblGrid>
        <w:gridCol w:w="1109"/>
        <w:gridCol w:w="972"/>
        <w:gridCol w:w="979"/>
        <w:gridCol w:w="323"/>
        <w:gridCol w:w="323"/>
        <w:gridCol w:w="784"/>
        <w:gridCol w:w="156"/>
        <w:gridCol w:w="156"/>
        <w:gridCol w:w="156"/>
        <w:gridCol w:w="323"/>
        <w:gridCol w:w="323"/>
        <w:gridCol w:w="784"/>
        <w:gridCol w:w="109"/>
        <w:gridCol w:w="109"/>
        <w:gridCol w:w="109"/>
        <w:gridCol w:w="323"/>
        <w:gridCol w:w="323"/>
        <w:gridCol w:w="784"/>
        <w:gridCol w:w="146"/>
        <w:gridCol w:w="146"/>
        <w:gridCol w:w="146"/>
        <w:gridCol w:w="323"/>
        <w:gridCol w:w="323"/>
        <w:gridCol w:w="86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marketing and distribution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Net Sales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net sales by geographic region (in millions):</w:t>
      </w:r>
    </w:p>
    <w:tbl>
      <w:tblPr>
        <w:tblW w:w="7789" w:type="dxa"/>
        <w:jc w:val="left"/>
        <w:tblInd w:w="0" w:type="dxa"/>
        <w:tblLayout w:type="fixed"/>
        <w:tblCellMar>
          <w:top w:w="28" w:type="dxa"/>
          <w:left w:w="28" w:type="dxa"/>
          <w:bottom w:w="28" w:type="dxa"/>
          <w:right w:w="28" w:type="dxa"/>
        </w:tblCellMar>
      </w:tblPr>
      <w:tblGrid>
        <w:gridCol w:w="451"/>
        <w:gridCol w:w="396"/>
        <w:gridCol w:w="399"/>
        <w:gridCol w:w="300"/>
        <w:gridCol w:w="922"/>
        <w:gridCol w:w="157"/>
        <w:gridCol w:w="109"/>
        <w:gridCol w:w="109"/>
        <w:gridCol w:w="109"/>
        <w:gridCol w:w="300"/>
        <w:gridCol w:w="922"/>
        <w:gridCol w:w="157"/>
        <w:gridCol w:w="109"/>
        <w:gridCol w:w="109"/>
        <w:gridCol w:w="109"/>
        <w:gridCol w:w="257"/>
        <w:gridCol w:w="990"/>
        <w:gridCol w:w="133"/>
        <w:gridCol w:w="109"/>
        <w:gridCol w:w="109"/>
        <w:gridCol w:w="109"/>
        <w:gridCol w:w="255"/>
        <w:gridCol w:w="983"/>
        <w:gridCol w:w="186"/>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Americas</w:t>
            </w:r>
            <w:r>
              <w:rPr>
                <w:rFonts w:ascii="Arial;sans-serif" w:hAnsi="Arial;sans-serif"/>
                <w:b w:val="false"/>
                <w:color w:val="000000"/>
                <w:sz w:val="13"/>
              </w:rPr>
              <w:t>(1)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EMEA</w:t>
            </w:r>
            <w:r>
              <w:rPr>
                <w:rFonts w:ascii="Arial;sans-serif" w:hAnsi="Arial;sans-serif"/>
                <w:b w:val="false"/>
                <w:color w:val="000000"/>
                <w:sz w:val="13"/>
              </w:rPr>
              <w:t>(2)</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sans-serif" w:hAnsi="Arial;sans-serif"/>
          <w:b w:val="false"/>
          <w:color w:val="000000"/>
          <w:sz w:val="18"/>
        </w:rPr>
      </w:pPr>
      <w:r>
        <w:rPr>
          <w:rFonts w:ascii="Arial;sans-serif" w:hAnsi="Arial;sans-serif"/>
          <w:b w:val="false"/>
          <w:color w:val="000000"/>
          <w:sz w:val="18"/>
        </w:rPr>
        <w:t>(1)     North, South and Central America, including the United States</w:t>
      </w:r>
    </w:p>
    <w:p>
      <w:pPr>
        <w:pStyle w:val="TextBody"/>
        <w:bidi w:val="0"/>
        <w:spacing w:lineRule="auto" w:line="288" w:before="0" w:after="0"/>
        <w:ind w:left="0" w:right="0" w:hanging="360"/>
        <w:jc w:val="left"/>
        <w:rPr/>
      </w:pPr>
      <w:r>
        <w:rPr>
          <w:rFonts w:ascii="Arial;sans-serif" w:hAnsi="Arial;sans-serif"/>
          <w:b w:val="false"/>
          <w:color w:val="000000"/>
          <w:sz w:val="18"/>
        </w:rPr>
        <w:t>(2)</w:t>
      </w:r>
      <w:r>
        <w:rPr>
          <w:color w:val="000000"/>
        </w:rPr>
        <w:t>    </w:t>
      </w:r>
      <w:r>
        <w:rPr>
          <w:rFonts w:ascii="Arial;sans-serif" w:hAnsi="Arial;sans-serif"/>
          <w:b w:val="false"/>
          <w:color w:val="000000"/>
          <w:sz w:val="18"/>
        </w:rPr>
        <w:t>Europe, Middle East and Africa</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w:t>
      </w:r>
    </w:p>
    <w:tbl>
      <w:tblPr>
        <w:tblW w:w="10308" w:type="dxa"/>
        <w:jc w:val="left"/>
        <w:tblInd w:w="0" w:type="dxa"/>
        <w:tblLayout w:type="fixed"/>
        <w:tblCellMar>
          <w:top w:w="28" w:type="dxa"/>
          <w:left w:w="28" w:type="dxa"/>
          <w:bottom w:w="28" w:type="dxa"/>
          <w:right w:w="28" w:type="dxa"/>
        </w:tblCellMar>
      </w:tblPr>
      <w:tblGrid>
        <w:gridCol w:w="450"/>
        <w:gridCol w:w="396"/>
        <w:gridCol w:w="400"/>
        <w:gridCol w:w="255"/>
        <w:gridCol w:w="255"/>
        <w:gridCol w:w="256"/>
        <w:gridCol w:w="109"/>
        <w:gridCol w:w="109"/>
        <w:gridCol w:w="109"/>
        <w:gridCol w:w="390"/>
        <w:gridCol w:w="390"/>
        <w:gridCol w:w="391"/>
        <w:gridCol w:w="109"/>
        <w:gridCol w:w="109"/>
        <w:gridCol w:w="109"/>
        <w:gridCol w:w="295"/>
        <w:gridCol w:w="295"/>
        <w:gridCol w:w="296"/>
        <w:gridCol w:w="109"/>
        <w:gridCol w:w="109"/>
        <w:gridCol w:w="109"/>
        <w:gridCol w:w="180"/>
        <w:gridCol w:w="180"/>
        <w:gridCol w:w="181"/>
        <w:gridCol w:w="109"/>
        <w:gridCol w:w="109"/>
        <w:gridCol w:w="109"/>
        <w:gridCol w:w="255"/>
        <w:gridCol w:w="255"/>
        <w:gridCol w:w="256"/>
        <w:gridCol w:w="109"/>
        <w:gridCol w:w="109"/>
        <w:gridCol w:w="109"/>
        <w:gridCol w:w="390"/>
        <w:gridCol w:w="390"/>
        <w:gridCol w:w="391"/>
        <w:gridCol w:w="109"/>
        <w:gridCol w:w="109"/>
        <w:gridCol w:w="109"/>
        <w:gridCol w:w="295"/>
        <w:gridCol w:w="295"/>
        <w:gridCol w:w="296"/>
        <w:gridCol w:w="109"/>
        <w:gridCol w:w="109"/>
        <w:gridCol w:w="109"/>
        <w:gridCol w:w="171"/>
        <w:gridCol w:w="171"/>
        <w:gridCol w:w="24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Gross Profit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gross profit margin rate decreased approximately 3 percentage points for the third quarter compared to the same period last year, primarily driven by higher product costs, the unfavorable effects of lower margin rates of acquired operations and unfavorable product and channel mix. Tariff refunds and changes in tariff costs were not significant for the third quarter. The gross profit margin rate decreased 1 percentage point for the year to date, as the unfavorable effects of lower margin rates of acquired operations and unfavorable product and channel mix were partially offset by tariff refunds, net of related surcharges.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Operating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operating expenses increased $24 million (19 percent) for the third quarter and increased $32 million (8 percent) year to date compared to the same periods last year and included a non-cash gain of $14 million from the reduction in fair value of acquisition-related contingent consideration in the prior year that did not repeat. Other increases in operating expenses primarily related to incremental expenses from acquired operations of $7 million for the quarter and $18 million for the year to date and incremental acquisition costs of $2 million for the quarter and $3 million for the year to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Other Income,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non-operating income increased by $1 million in both the third quarter and the year to date from the comparable periods last year, primarily due to lower foreign exchange losses on net assets of foreign operations. The year to date increase in other non-operating income was partially offset by a prior year gain of $5 million from the sale of a former manufacturing and distribution facility in Switzerland that did not repeat.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effective income tax rate was 20 percent for the third quarter and 19 percent for the year to date. Adjusted to exclude the impacts of certain non-GAAP adjustments (see reconciliation of GAAP to non-GAAP measurements), the adjusted effective income tax rate of 20 percent for both the third quarter and year to date was comparable to the respective periods last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measurements of segment operations compared to last year are summarized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Contractor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net sales and operating earnings as a percentage of sales for the Contractor segment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391"/>
        <w:gridCol w:w="1208"/>
        <w:gridCol w:w="1198"/>
        <w:gridCol w:w="247"/>
        <w:gridCol w:w="760"/>
        <w:gridCol w:w="336"/>
        <w:gridCol w:w="109"/>
        <w:gridCol w:w="109"/>
        <w:gridCol w:w="109"/>
        <w:gridCol w:w="247"/>
        <w:gridCol w:w="760"/>
        <w:gridCol w:w="336"/>
        <w:gridCol w:w="109"/>
        <w:gridCol w:w="109"/>
        <w:gridCol w:w="109"/>
        <w:gridCol w:w="247"/>
        <w:gridCol w:w="760"/>
        <w:gridCol w:w="336"/>
        <w:gridCol w:w="109"/>
        <w:gridCol w:w="109"/>
        <w:gridCol w:w="109"/>
        <w:gridCol w:w="246"/>
        <w:gridCol w:w="756"/>
        <w:gridCol w:w="396"/>
      </w:tblGrid>
      <w:tr>
        <w:trPr/>
        <w:tc>
          <w:tcPr>
            <w:tcW w:w="139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Americas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EMEA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Asia Pacific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 as a percentage of net sales</w:t>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 for the Contractor segment:</w:t>
      </w:r>
    </w:p>
    <w:tbl>
      <w:tblPr>
        <w:tblW w:w="10205" w:type="dxa"/>
        <w:jc w:val="left"/>
        <w:tblInd w:w="0" w:type="dxa"/>
        <w:tblLayout w:type="fixed"/>
        <w:tblCellMar>
          <w:top w:w="28" w:type="dxa"/>
          <w:left w:w="28" w:type="dxa"/>
          <w:bottom w:w="28" w:type="dxa"/>
          <w:right w:w="28" w:type="dxa"/>
        </w:tblCellMar>
      </w:tblPr>
      <w:tblGrid>
        <w:gridCol w:w="356"/>
        <w:gridCol w:w="313"/>
        <w:gridCol w:w="315"/>
        <w:gridCol w:w="280"/>
        <w:gridCol w:w="280"/>
        <w:gridCol w:w="281"/>
        <w:gridCol w:w="109"/>
        <w:gridCol w:w="109"/>
        <w:gridCol w:w="109"/>
        <w:gridCol w:w="390"/>
        <w:gridCol w:w="390"/>
        <w:gridCol w:w="391"/>
        <w:gridCol w:w="109"/>
        <w:gridCol w:w="109"/>
        <w:gridCol w:w="109"/>
        <w:gridCol w:w="295"/>
        <w:gridCol w:w="295"/>
        <w:gridCol w:w="296"/>
        <w:gridCol w:w="109"/>
        <w:gridCol w:w="109"/>
        <w:gridCol w:w="109"/>
        <w:gridCol w:w="180"/>
        <w:gridCol w:w="180"/>
        <w:gridCol w:w="181"/>
        <w:gridCol w:w="109"/>
        <w:gridCol w:w="109"/>
        <w:gridCol w:w="109"/>
        <w:gridCol w:w="280"/>
        <w:gridCol w:w="280"/>
        <w:gridCol w:w="281"/>
        <w:gridCol w:w="109"/>
        <w:gridCol w:w="109"/>
        <w:gridCol w:w="109"/>
        <w:gridCol w:w="391"/>
        <w:gridCol w:w="391"/>
        <w:gridCol w:w="392"/>
        <w:gridCol w:w="109"/>
        <w:gridCol w:w="109"/>
        <w:gridCol w:w="109"/>
        <w:gridCol w:w="295"/>
        <w:gridCol w:w="295"/>
        <w:gridCol w:w="296"/>
        <w:gridCol w:w="109"/>
        <w:gridCol w:w="109"/>
        <w:gridCol w:w="109"/>
        <w:gridCol w:w="171"/>
        <w:gridCol w:w="171"/>
        <w:gridCol w:w="250"/>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w:t>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Total</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Contractor segment incremental sales from acquired operations for the third quarter and year to date included $7 million and $20 million, respectively. Organic sales growth in the Americas for the third quarter was primarily driven by growth within the professional paint channel. For the year to date, sales growth was broad-based with growth in the protective coating and spray foam product categories as well as within the professional paint and home center channels. The operating margin rate for this segment was flat for the quarter and increased 2 percentage points for the year to date, primarily driven by the net impact of tariff refunds and related surcharges.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Industrial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net sales and operating earnings as a percentage of sales for the Industrial segment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391"/>
        <w:gridCol w:w="1208"/>
        <w:gridCol w:w="1198"/>
        <w:gridCol w:w="247"/>
        <w:gridCol w:w="760"/>
        <w:gridCol w:w="336"/>
        <w:gridCol w:w="109"/>
        <w:gridCol w:w="109"/>
        <w:gridCol w:w="109"/>
        <w:gridCol w:w="247"/>
        <w:gridCol w:w="760"/>
        <w:gridCol w:w="336"/>
        <w:gridCol w:w="109"/>
        <w:gridCol w:w="109"/>
        <w:gridCol w:w="109"/>
        <w:gridCol w:w="247"/>
        <w:gridCol w:w="760"/>
        <w:gridCol w:w="336"/>
        <w:gridCol w:w="109"/>
        <w:gridCol w:w="109"/>
        <w:gridCol w:w="109"/>
        <w:gridCol w:w="246"/>
        <w:gridCol w:w="756"/>
        <w:gridCol w:w="396"/>
      </w:tblGrid>
      <w:tr>
        <w:trPr/>
        <w:tc>
          <w:tcPr>
            <w:tcW w:w="139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Americas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EMEA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Asia Pacific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 as a percentage of net sales</w:t>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 for the Industrial segment:</w:t>
      </w:r>
    </w:p>
    <w:tbl>
      <w:tblPr>
        <w:tblW w:w="10205" w:type="dxa"/>
        <w:jc w:val="left"/>
        <w:tblInd w:w="0" w:type="dxa"/>
        <w:tblLayout w:type="fixed"/>
        <w:tblCellMar>
          <w:top w:w="28" w:type="dxa"/>
          <w:left w:w="28" w:type="dxa"/>
          <w:bottom w:w="28" w:type="dxa"/>
          <w:right w:w="28" w:type="dxa"/>
        </w:tblCellMar>
      </w:tblPr>
      <w:tblGrid>
        <w:gridCol w:w="356"/>
        <w:gridCol w:w="313"/>
        <w:gridCol w:w="315"/>
        <w:gridCol w:w="280"/>
        <w:gridCol w:w="280"/>
        <w:gridCol w:w="281"/>
        <w:gridCol w:w="109"/>
        <w:gridCol w:w="109"/>
        <w:gridCol w:w="109"/>
        <w:gridCol w:w="390"/>
        <w:gridCol w:w="390"/>
        <w:gridCol w:w="391"/>
        <w:gridCol w:w="109"/>
        <w:gridCol w:w="109"/>
        <w:gridCol w:w="109"/>
        <w:gridCol w:w="295"/>
        <w:gridCol w:w="295"/>
        <w:gridCol w:w="296"/>
        <w:gridCol w:w="109"/>
        <w:gridCol w:w="109"/>
        <w:gridCol w:w="109"/>
        <w:gridCol w:w="180"/>
        <w:gridCol w:w="180"/>
        <w:gridCol w:w="181"/>
        <w:gridCol w:w="109"/>
        <w:gridCol w:w="109"/>
        <w:gridCol w:w="109"/>
        <w:gridCol w:w="280"/>
        <w:gridCol w:w="280"/>
        <w:gridCol w:w="281"/>
        <w:gridCol w:w="109"/>
        <w:gridCol w:w="109"/>
        <w:gridCol w:w="109"/>
        <w:gridCol w:w="391"/>
        <w:gridCol w:w="391"/>
        <w:gridCol w:w="392"/>
        <w:gridCol w:w="109"/>
        <w:gridCol w:w="109"/>
        <w:gridCol w:w="109"/>
        <w:gridCol w:w="295"/>
        <w:gridCol w:w="295"/>
        <w:gridCol w:w="296"/>
        <w:gridCol w:w="109"/>
        <w:gridCol w:w="109"/>
        <w:gridCol w:w="109"/>
        <w:gridCol w:w="171"/>
        <w:gridCol w:w="171"/>
        <w:gridCol w:w="250"/>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w:t>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Total</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Industrial segment sales growth included incremental sales from acquired operations of $13 million for the third quarter and $43 million for the year to date. The timing of finishing system sales and other project-related activity contributed to an increase of 6 percentage points in sales for the third quarter, while resulting in a decrease of 2 percentage points in sales for the year to date. The operating margin rate for this segment decreased 6 percentage points for the third quarter and 3 percentage points for the year to date, primarily due to unfavorable product and channel mix and the impact of acquired operations. Tariff refunds, net of related surcharges, partially offset the year-to-date decrease.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Arial;sans-serif" w:hAnsi="Arial;sans-serif"/>
          <w:b w:val="false"/>
          <w:color w:val="000000"/>
          <w:sz w:val="20"/>
          <w:u w:val="single"/>
        </w:rPr>
      </w:pPr>
      <w:r>
        <w:rPr>
          <w:rFonts w:ascii="Arial;sans-serif" w:hAnsi="Arial;sans-serif"/>
          <w:b w:val="false"/>
          <w:color w:val="000000"/>
          <w:sz w:val="20"/>
          <w:u w:val="single"/>
        </w:rPr>
        <w:t>Expansion Markets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net sales and operating earnings as a percentage of sales for the Expansion Markets segment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98"/>
        <w:gridCol w:w="1214"/>
        <w:gridCol w:w="1206"/>
        <w:gridCol w:w="269"/>
        <w:gridCol w:w="694"/>
        <w:gridCol w:w="369"/>
        <w:gridCol w:w="109"/>
        <w:gridCol w:w="109"/>
        <w:gridCol w:w="109"/>
        <w:gridCol w:w="269"/>
        <w:gridCol w:w="694"/>
        <w:gridCol w:w="369"/>
        <w:gridCol w:w="109"/>
        <w:gridCol w:w="109"/>
        <w:gridCol w:w="109"/>
        <w:gridCol w:w="248"/>
        <w:gridCol w:w="761"/>
        <w:gridCol w:w="336"/>
        <w:gridCol w:w="109"/>
        <w:gridCol w:w="109"/>
        <w:gridCol w:w="109"/>
        <w:gridCol w:w="247"/>
        <w:gridCol w:w="757"/>
        <w:gridCol w:w="393"/>
      </w:tblGrid>
      <w:tr>
        <w:trPr/>
        <w:tc>
          <w:tcPr>
            <w:tcW w:w="139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26,</w:t>
              <w:br/>
              <w:t>2025</w:t>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Americas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EMEA</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Asia Pacific</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 as a percentage of net sales</w:t>
            </w:r>
          </w:p>
        </w:tc>
        <w:tc>
          <w:tcPr>
            <w:tcW w:w="9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 for the Expansion Markets segment:</w:t>
      </w:r>
    </w:p>
    <w:tbl>
      <w:tblPr>
        <w:tblW w:w="10205" w:type="dxa"/>
        <w:jc w:val="left"/>
        <w:tblInd w:w="0" w:type="dxa"/>
        <w:tblLayout w:type="fixed"/>
        <w:tblCellMar>
          <w:top w:w="28" w:type="dxa"/>
          <w:left w:w="28" w:type="dxa"/>
          <w:bottom w:w="28" w:type="dxa"/>
          <w:right w:w="28" w:type="dxa"/>
        </w:tblCellMar>
      </w:tblPr>
      <w:tblGrid>
        <w:gridCol w:w="355"/>
        <w:gridCol w:w="312"/>
        <w:gridCol w:w="314"/>
        <w:gridCol w:w="279"/>
        <w:gridCol w:w="279"/>
        <w:gridCol w:w="280"/>
        <w:gridCol w:w="109"/>
        <w:gridCol w:w="109"/>
        <w:gridCol w:w="109"/>
        <w:gridCol w:w="391"/>
        <w:gridCol w:w="391"/>
        <w:gridCol w:w="392"/>
        <w:gridCol w:w="109"/>
        <w:gridCol w:w="109"/>
        <w:gridCol w:w="109"/>
        <w:gridCol w:w="295"/>
        <w:gridCol w:w="295"/>
        <w:gridCol w:w="296"/>
        <w:gridCol w:w="109"/>
        <w:gridCol w:w="109"/>
        <w:gridCol w:w="109"/>
        <w:gridCol w:w="180"/>
        <w:gridCol w:w="180"/>
        <w:gridCol w:w="181"/>
        <w:gridCol w:w="109"/>
        <w:gridCol w:w="109"/>
        <w:gridCol w:w="109"/>
        <w:gridCol w:w="279"/>
        <w:gridCol w:w="279"/>
        <w:gridCol w:w="280"/>
        <w:gridCol w:w="109"/>
        <w:gridCol w:w="109"/>
        <w:gridCol w:w="109"/>
        <w:gridCol w:w="391"/>
        <w:gridCol w:w="391"/>
        <w:gridCol w:w="392"/>
        <w:gridCol w:w="109"/>
        <w:gridCol w:w="109"/>
        <w:gridCol w:w="109"/>
        <w:gridCol w:w="295"/>
        <w:gridCol w:w="295"/>
        <w:gridCol w:w="296"/>
        <w:gridCol w:w="109"/>
        <w:gridCol w:w="109"/>
        <w:gridCol w:w="109"/>
        <w:gridCol w:w="172"/>
        <w:gridCol w:w="172"/>
        <w:gridCol w:w="254"/>
      </w:tblGrid>
      <w:tr>
        <w:trPr/>
        <w:tc>
          <w:tcPr>
            <w:tcW w:w="3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w:t>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Total</w:t>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Expansion Markets net sales increased $3 million for both the third quarter and year to date compared to the same periods last year due to improved sales volume in the semiconductor and environmental product applications. The segment's operating margin rate for the third quarter decreased 1 percentage point, primarily due to upfront license fees related to the electric motor product application in the prior year that did not recur. The year to date operating margin rate was flat.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of $463 million in the first nine months of 2026 decreased by $24 million compared to the same period last year. Increases in accounts receivable and accounts payable reflect growth in business activity in the third quarter of 2026. Significant uses of cash in the first nine months of 2026 included business acquisitions of $436 million, share repurchases of $463 million (partially offset by $45 million of net proceeds from shares issued), dividend payments of $145 million and plant and equipment additions of $48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third quarter of 2026, the Company borrowed $219 million under its $750 million revolving credit facility in order to fund previously announced business acquisitions. In the third quarter of 2026, the Company made payments of $119 million against the revolving credit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first nine months of 2025, significant uses of cash included share repurchases of $361 million (partially offset by $32 million from shares issued) and dividend payments of $138 million, business acquisitions totaling $70 million and plant and equipment additions of $34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September 25, 2026, the Company had available liquidity of $808 million, including cash and cash equivalents of $140 million, of which $122 million was held outside of the U.S., and available credit under existing committed credit facilities of $668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balances and unused financing sources are expected to provide the Company with the flexibility to meet its liquidity needs for the next 12 months and beyond, including its capital expenditure plan, planned dividends, share repurchases, potential future acquisitions and operating requirements. Capital expenditures for 2026 are expected to be approximately $80 million. The Company may make opportunistic share repurchases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Outlook</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xml:space="preserve">While end market conditions remain mixed, we have confidence in the position of our businesses and the opportunities ahead. We remain focused on executing our strategy and delivering sustainable long-term growth and shareholder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The Company estimates fourth quarter total company sales of $610 million to $640 million, including the acquisition of Valco Melton.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desires to take advantage of the “safe harbor” provisions regarding forward-looking statements of the Private Securities Litigation Reform Act of 1995 and is filing this Cautionary Statement in order to do so. From time to time various forms filed by our Company with the Securities and Exchange Commission, including our Form 10-K, Form 10-Qs and Form 8-Ks, and other disclosures, including our 2025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various risks and uncertainties may cause our Company’s actual results to differ materially from those expressed in these statements. The Company undertakes no obligation to update these statements in light of new information or future events.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Future results could differ materially from those expressed, due to the impact of changes in various factors. These risk factors include, but are not limited to, risks relating to the demand for our products and the level of commercial, industrial and construction activity worldwide; changes in currency translation rates;</w:t>
      </w:r>
      <w:r>
        <w:rPr>
          <w:color w:val="000000"/>
        </w:rPr>
        <w:t xml:space="preserve"> </w:t>
      </w:r>
      <w:r>
        <w:rPr>
          <w:rFonts w:ascii="Arial;sans-serif" w:hAnsi="Arial;sans-serif"/>
          <w:b w:val="false"/>
          <w:color w:val="000000"/>
          <w:sz w:val="20"/>
        </w:rPr>
        <w:t>international and domestic</w:t>
      </w:r>
      <w:r>
        <w:rPr>
          <w:color w:val="000000"/>
        </w:rPr>
        <w:t xml:space="preserve"> </w:t>
      </w:r>
      <w:r>
        <w:rPr>
          <w:rFonts w:ascii="Arial;sans-serif" w:hAnsi="Arial;sans-serif"/>
          <w:b w:val="false"/>
          <w:color w:val="000000"/>
          <w:sz w:val="20"/>
        </w:rPr>
        <w:t xml:space="preserve">instability; interest rate fluctuations and changes in credit markets; global sourcing of materials; inflationary cost pressures and our ability to raise prices without decreasing demand for our products; interruptions of or intrusions into our information systems; intellectual property rights; the use of generative artificial intelligence and other emerging technologies; conducting business internationally; catastrophic events; our ability to attract, develop and retain qualified personnel; public health crises; our growth strategies and acquisitions; potential goodwill impairment; our ability to compete effectively; our dependence on a few large customers; our dependence on cyclical industries; changes in laws and regulations; climate-related laws, regulations and accords; environmental, social and governance-related expectations and requirements; compliance with anti-corruption and trade laws; changes in tax or tariff rates or the adoption of new tax or tariff legislation; and costs associated with legal proceedings. Please refer to Item 1A of our 2025 Annual Report on Form 10-K and Item 1A of this Form 10-Q for a more comprehensive discussion of these and other risk factors. These reports are available on the Company’s website at </w:t>
      </w:r>
      <w:r>
        <w:rPr>
          <w:rFonts w:ascii="Arial;sans-serif" w:hAnsi="Arial;sans-serif"/>
          <w:b w:val="false"/>
          <w:color w:val="0424FF"/>
          <w:sz w:val="20"/>
          <w:u w:val="single"/>
        </w:rPr>
        <w:t>www.graco.com</w:t>
      </w:r>
      <w:r>
        <w:rPr>
          <w:color w:val="000000"/>
        </w:rPr>
        <w:t xml:space="preserve"> </w:t>
      </w:r>
      <w:r>
        <w:rPr>
          <w:rFonts w:ascii="Arial;sans-serif" w:hAnsi="Arial;sans-serif"/>
          <w:b w:val="false"/>
          <w:color w:val="000000"/>
          <w:sz w:val="20"/>
        </w:rPr>
        <w:t xml:space="preserve">and the Securities and Exchange Commission’s website at </w:t>
      </w:r>
      <w:r>
        <w:rPr>
          <w:rFonts w:ascii="Arial;sans-serif" w:hAnsi="Arial;sans-serif"/>
          <w:b w:val="false"/>
          <w:color w:val="0424FF"/>
          <w:sz w:val="20"/>
          <w:u w:val="single"/>
        </w:rPr>
        <w:t>www.sec.gov</w:t>
      </w:r>
      <w:r>
        <w:rPr>
          <w:rFonts w:ascii="Arial;sans-serif" w:hAnsi="Arial;sans-serif"/>
          <w:b w:val="false"/>
          <w:color w:val="000000"/>
          <w:sz w:val="20"/>
        </w:rPr>
        <w:t>. Shareholders, potential investors and other readers are urged to consider these factors in evaluating forward-looking statements and are cautioned not to place undue reliance on such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 should realize that factors other than those identified above and in Item 1A might prove important to the Company’s future results. It is not possible for management to identify each and every factor that may have an impact on the Company’s operations in the future as new factors can develop from time to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Item 3.</w:t>
      </w:r>
      <w:r>
        <w:rPr>
          <w:rFonts w:ascii="Arial;sans-serif" w:hAnsi="Arial;sans-serif"/>
          <w:b/>
          <w:color w:val="000000"/>
          <w:sz w:val="24"/>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related to market risk from the disclosures made in the 2025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Item 4.</w:t>
      </w:r>
      <w:r>
        <w:rPr>
          <w:rFonts w:ascii="Arial;sans-serif" w:hAnsi="Arial;sans-serif"/>
          <w:b/>
          <w:color w:val="000000"/>
          <w:sz w:val="24"/>
        </w:rPr>
        <w:t>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the end of the fiscal quarter covered by this report, the Company carried out an evaluation of the effectiveness of the design and operation of its disclosure controls and procedures. This evaluation was done under the supervision and with the participation of the Company’s President and Chief Executive Officer and the Chief Financial Officer and Treasurer. Based upon that evaluation, the Company’s President and Chief Executive Officer and the Chief Financial Officer and Treasurer concluded that the Company’s disclosure controls and procedures are effective.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Changes in internal controls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quarter, there was no change in the Company’s internal control over financial reporting that has materially affected or is reasonably likely to materially affect the Company’s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90"/>
        <w:jc w:val="left"/>
        <w:rPr>
          <w:rFonts w:ascii="Arial;sans-serif" w:hAnsi="Arial;sans-serif"/>
          <w:b/>
          <w:color w:val="000000"/>
          <w:sz w:val="24"/>
        </w:rPr>
      </w:pPr>
      <w:r>
        <w:rPr>
          <w:rFonts w:ascii="Arial;sans-serif" w:hAnsi="Arial;sans-serif"/>
          <w:b/>
          <w:color w:val="000000"/>
          <w:sz w:val="24"/>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Item 1A.</w:t>
      </w:r>
      <w:r>
        <w:rPr>
          <w:rFonts w:ascii="Arial;sans-serif" w:hAnsi="Arial;sans-serif"/>
          <w:b/>
          <w:color w:val="000000"/>
          <w:sz w:val="24"/>
        </w:rPr>
        <w:t>Risk Factors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to the Company’s risk factors from those disclosed in the Company’s 2025 Annual Report on Form 10-K.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000000"/>
          <w:sz w:val="24"/>
        </w:rPr>
        <w:t>Item 2.</w:t>
      </w:r>
      <w:r>
        <w:rPr>
          <w:rFonts w:ascii="Arial;sans-serif" w:hAnsi="Arial;sans-serif"/>
          <w:b/>
          <w:color w:val="000000"/>
          <w:sz w:val="24"/>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December 7, 2018, the Board of Directors authorized the purchase of up to 18 million shares of common stock, primarily through open market transactions. On December 5, 2025, the Board of Directors authorized the Company to purchase up to an additional 15 million shares of its outstanding stock, primarily through open-market transactions. The authorization is for an indefinite period of time or until terminated by the Board.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shares purchased under the Board authorization, the Company purchases shares of common stock held by employees who wish to tender owned shares to satisfy the exercise price or tax due upon exercise of options or vesting of restricted stock.</w:t>
      </w:r>
    </w:p>
    <w:p>
      <w:pPr>
        <w:pStyle w:val="TextBody"/>
        <w:bidi w:val="0"/>
        <w:spacing w:before="0" w:after="0"/>
        <w:jc w:val="left"/>
        <w:rPr/>
      </w:pPr>
      <w:r>
        <w:rPr/>
      </w:r>
    </w:p>
    <w:p>
      <w:pPr>
        <w:pStyle w:val="TextBody"/>
        <w:bidi w:val="0"/>
        <w:spacing w:lineRule="auto" w:line="288" w:before="0" w:after="140"/>
        <w:jc w:val="left"/>
        <w:rPr>
          <w:rFonts w:ascii="Arial;sans-serif" w:hAnsi="Arial;sans-serif"/>
          <w:b w:val="false"/>
          <w:color w:val="000000"/>
          <w:sz w:val="20"/>
        </w:rPr>
      </w:pPr>
      <w:r>
        <w:rPr>
          <w:rFonts w:ascii="Arial;sans-serif" w:hAnsi="Arial;sans-serif"/>
          <w:b w:val="false"/>
          <w:color w:val="000000"/>
          <w:sz w:val="20"/>
        </w:rPr>
        <w:t>Information on issuer purchases of equity securities follows:</w:t>
      </w:r>
    </w:p>
    <w:tbl>
      <w:tblPr>
        <w:tblW w:w="10205" w:type="dxa"/>
        <w:jc w:val="center"/>
        <w:tblInd w:w="0" w:type="dxa"/>
        <w:tblLayout w:type="fixed"/>
        <w:tblCellMar>
          <w:top w:w="28" w:type="dxa"/>
          <w:left w:w="28" w:type="dxa"/>
          <w:bottom w:w="28" w:type="dxa"/>
          <w:right w:w="28" w:type="dxa"/>
        </w:tblCellMar>
      </w:tblPr>
      <w:tblGrid>
        <w:gridCol w:w="868"/>
        <w:gridCol w:w="415"/>
        <w:gridCol w:w="417"/>
        <w:gridCol w:w="109"/>
        <w:gridCol w:w="109"/>
        <w:gridCol w:w="109"/>
        <w:gridCol w:w="540"/>
        <w:gridCol w:w="412"/>
        <w:gridCol w:w="413"/>
        <w:gridCol w:w="109"/>
        <w:gridCol w:w="109"/>
        <w:gridCol w:w="109"/>
        <w:gridCol w:w="231"/>
        <w:gridCol w:w="710"/>
        <w:gridCol w:w="119"/>
        <w:gridCol w:w="109"/>
        <w:gridCol w:w="109"/>
        <w:gridCol w:w="109"/>
        <w:gridCol w:w="949"/>
        <w:gridCol w:w="844"/>
        <w:gridCol w:w="846"/>
        <w:gridCol w:w="109"/>
        <w:gridCol w:w="109"/>
        <w:gridCol w:w="109"/>
        <w:gridCol w:w="915"/>
        <w:gridCol w:w="499"/>
        <w:gridCol w:w="719"/>
      </w:tblGrid>
      <w:tr>
        <w:trPr/>
        <w:tc>
          <w:tcPr>
            <w:tcW w:w="86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w:t>
              <w:br/>
              <w:t>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Maximum Number of Shares that May Yet Be</w:t>
              <w:br/>
              <w:t>Purchased Under the Plans or Programs</w:t>
              <w:br/>
              <w:t>(at end of period)</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27, 2026 - July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514,108 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514,108 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18,279,781 </w:t>
            </w:r>
          </w:p>
        </w:tc>
        <w:tc>
          <w:tcPr>
            <w:tcW w:w="7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25, 2026 - August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761,000 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761,000 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17,518,781 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22, 2026 - September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401,000 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401,000 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17,117,781 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ind w:left="0" w:right="0" w:hanging="90"/>
        <w:jc w:val="left"/>
        <w:rPr/>
      </w:pPr>
      <w:r>
        <w:rPr/>
      </w:r>
    </w:p>
    <w:p>
      <w:pPr>
        <w:pStyle w:val="TextBody"/>
        <w:bidi w:val="0"/>
        <w:spacing w:before="0" w:after="1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000000"/>
          <w:sz w:val="24"/>
        </w:rPr>
        <w:t>Item 5.</w:t>
      </w:r>
      <w:r>
        <w:rPr>
          <w:rFonts w:ascii="Arial;sans-serif" w:hAnsi="Arial;sans-serif"/>
          <w:b/>
          <w:color w:val="000000"/>
          <w:sz w:val="24"/>
        </w:rPr>
        <w:t>Other Information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September 25,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000000"/>
          <w:sz w:val="24"/>
        </w:rPr>
        <w:t>Item 6.</w:t>
      </w:r>
      <w:r>
        <w:rPr>
          <w:rFonts w:ascii="Arial;sans-serif" w:hAnsi="Arial;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63"/>
        <w:gridCol w:w="233"/>
        <w:gridCol w:w="109"/>
        <w:gridCol w:w="109"/>
        <w:gridCol w:w="109"/>
        <w:gridCol w:w="109"/>
        <w:gridCol w:w="2715"/>
        <w:gridCol w:w="2708"/>
        <w:gridCol w:w="3850"/>
      </w:tblGrid>
      <w:tr>
        <w:trPr/>
        <w:tc>
          <w:tcPr>
            <w:tcW w:w="2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Restated Articles of Incorporation as amended December 8, 2017. (</w:t>
            </w:r>
            <w:hyperlink r:id="rId2">
              <w:r>
                <w:rPr>
                  <w:rStyle w:val="InternetLink"/>
                  <w:rFonts w:ascii="Arial;sans-serif" w:hAnsi="Arial;sans-serif"/>
                  <w:b w:val="false"/>
                  <w:color w:val="0000FF"/>
                  <w:sz w:val="20"/>
                  <w:u w:val="single"/>
                </w:rPr>
                <w:t>Incorporated by reference to Exhibit 3.1 to the Company's Report on Form 8-K filed December 8, 2017.</w:t>
              </w:r>
            </w:hyperlink>
            <w:r>
              <w:rPr>
                <w:rFonts w:ascii="Arial;sans-serif" w:hAnsi="Arial;sans-serif"/>
                <w:b w:val="false"/>
                <w:color w:val="000000"/>
                <w:sz w:val="20"/>
              </w:rPr>
              <w:t>)</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Restated Bylaws as amended February 17, 2023. </w:t>
            </w:r>
            <w:hyperlink r:id="rId3">
              <w:r>
                <w:rPr>
                  <w:rStyle w:val="InternetLink"/>
                  <w:rFonts w:ascii="Arial;sans-serif" w:hAnsi="Arial;sans-serif"/>
                  <w:b w:val="false"/>
                  <w:color w:val="0000FF"/>
                  <w:sz w:val="20"/>
                  <w:u w:val="single"/>
                </w:rPr>
                <w:t>(Incorporated by reference to Exhibit 3.2 to the Company’s 2024 Annual Report on Form 10-K.</w:t>
              </w:r>
            </w:hyperlink>
            <w:r>
              <w:rPr>
                <w:rFonts w:ascii="Arial;sans-serif" w:hAnsi="Arial;sans-serif"/>
                <w:b w:val="false"/>
                <w:color w:val="000000"/>
                <w:sz w:val="20"/>
              </w:rPr>
              <w:t>)</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2026q3ex311-quarteronly.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of President and Chief Executive Officer pursuant to Rule 13a-14(a).</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2026q3ex312-quarteronly.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of Chief Financial Officer and Treasurer pursuant to Rule 13a-14(a).</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2026q3ex32-quarteronly.htm">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of President and Chief Executive Officer and Chief Financial Officer and Treasurer pursuant to Section 1350 of Title 18, U.S.C.</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10212026exhibit991q3.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Press Release Reporting Third Quarter Earnings dated October 21, 2026.</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Interactive data files pursuant to Rule 405 of Regulation S-T formatted in iXBRL (Inline eXtensible Business Reporting Language).</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iXBRL and contained in Exhibit 101).</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288" w:before="0" w:after="0"/>
        <w:jc w:val="left"/>
        <w:rPr/>
      </w:pPr>
      <w:hyperlink w:anchor="i3479900dda054e99929d5703e88a5e90_7">
        <w:r>
          <w:rPr>
            <w:rStyle w:val="InternetLink"/>
            <w:rFonts w:ascii="Arial;sans-serif" w:hAnsi="Arial;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GRACO INC.</w:t>
      </w:r>
    </w:p>
    <w:tbl>
      <w:tblPr>
        <w:tblW w:w="8509"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534"/>
        <w:gridCol w:w="534"/>
        <w:gridCol w:w="536"/>
        <w:gridCol w:w="109"/>
        <w:gridCol w:w="109"/>
        <w:gridCol w:w="109"/>
        <w:gridCol w:w="134"/>
        <w:gridCol w:w="134"/>
        <w:gridCol w:w="136"/>
        <w:gridCol w:w="109"/>
        <w:gridCol w:w="109"/>
        <w:gridCol w:w="109"/>
        <w:gridCol w:w="1443"/>
        <w:gridCol w:w="1443"/>
        <w:gridCol w:w="204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D. Knutson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D. Knutson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Controller and Chief Accounting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5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Exhibit 31.1</w:t>
            </w:r>
          </w:p>
        </w:tc>
      </w:tr>
    </w:tbl>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Mark W. Sheahan,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Graco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277"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534"/>
        <w:gridCol w:w="534"/>
        <w:gridCol w:w="536"/>
        <w:gridCol w:w="109"/>
        <w:gridCol w:w="109"/>
        <w:gridCol w:w="109"/>
        <w:gridCol w:w="1004"/>
        <w:gridCol w:w="1004"/>
        <w:gridCol w:w="142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5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Exhibit 31.2</w:t>
            </w:r>
          </w:p>
        </w:tc>
      </w:tr>
    </w:tbl>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Sanjiv Gupta,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Graco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188"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534"/>
        <w:gridCol w:w="534"/>
        <w:gridCol w:w="536"/>
        <w:gridCol w:w="109"/>
        <w:gridCol w:w="109"/>
        <w:gridCol w:w="109"/>
        <w:gridCol w:w="980"/>
        <w:gridCol w:w="980"/>
        <w:gridCol w:w="138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34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99"/>
        <w:gridCol w:w="299"/>
        <w:gridCol w:w="4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Exhibit 32</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UNDER SECTION 1350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Section 1350 of Title 18 of the United States Code, each of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Graco Inc.</w:t>
      </w:r>
    </w:p>
    <w:p>
      <w:pPr>
        <w:pStyle w:val="TextBody"/>
        <w:bidi w:val="0"/>
        <w:spacing w:lineRule="auto" w:line="288" w:before="0" w:after="0"/>
        <w:jc w:val="left"/>
        <w:rPr>
          <w:color w:val="000000"/>
        </w:rPr>
      </w:pPr>
      <w:r>
        <w:rPr>
          <w:color w:val="000000"/>
        </w:rPr>
        <w:t> </w:t>
      </w:r>
    </w:p>
    <w:tbl>
      <w:tblPr>
        <w:tblW w:w="6277"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534"/>
        <w:gridCol w:w="534"/>
        <w:gridCol w:w="536"/>
        <w:gridCol w:w="109"/>
        <w:gridCol w:w="109"/>
        <w:gridCol w:w="109"/>
        <w:gridCol w:w="1004"/>
        <w:gridCol w:w="1004"/>
        <w:gridCol w:w="142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921" w:type="dxa"/>
        <w:jc w:val="center"/>
        <w:tblInd w:w="0" w:type="dxa"/>
        <w:tblLayout w:type="fixed"/>
        <w:tblCellMar>
          <w:top w:w="28" w:type="dxa"/>
          <w:left w:w="28" w:type="dxa"/>
          <w:bottom w:w="28" w:type="dxa"/>
          <w:right w:w="28" w:type="dxa"/>
        </w:tblCellMar>
      </w:tblPr>
      <w:tblGrid>
        <w:gridCol w:w="753"/>
        <w:gridCol w:w="661"/>
        <w:gridCol w:w="667"/>
        <w:gridCol w:w="314"/>
        <w:gridCol w:w="314"/>
        <w:gridCol w:w="314"/>
        <w:gridCol w:w="314"/>
        <w:gridCol w:w="314"/>
        <w:gridCol w:w="320"/>
        <w:gridCol w:w="519"/>
        <w:gridCol w:w="519"/>
        <w:gridCol w:w="521"/>
        <w:gridCol w:w="407"/>
        <w:gridCol w:w="407"/>
        <w:gridCol w:w="577"/>
      </w:tblGrid>
      <w:tr>
        <w:trPr/>
        <w:tc>
          <w:tcPr>
            <w:tcW w:w="7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GRACO INC.</w:t>
            </w:r>
          </w:p>
        </w:tc>
        <w:tc>
          <w:tcPr>
            <w:tcW w:w="139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0100" cy="876300"/>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4"/>
                          <a:stretch>
                            <a:fillRect/>
                          </a:stretch>
                        </pic:blipFill>
                        <pic:spPr bwMode="auto">
                          <a:xfrm>
                            <a:off x="0" y="0"/>
                            <a:ext cx="800100" cy="876300"/>
                          </a:xfrm>
                          <a:prstGeom prst="rect">
                            <a:avLst/>
                          </a:prstGeom>
                        </pic:spPr>
                      </pic:pic>
                    </a:graphicData>
                  </a:graphic>
                </wp:inline>
              </w:drawing>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P.O. Box 1441</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71" w:type="dxa"/>
            <w:gridSpan w:val="9"/>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49530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5"/>
                          <a:stretch>
                            <a:fillRect/>
                          </a:stretch>
                        </pic:blipFill>
                        <pic:spPr bwMode="auto">
                          <a:xfrm>
                            <a:off x="0" y="0"/>
                            <a:ext cx="2457450" cy="495300"/>
                          </a:xfrm>
                          <a:prstGeom prst="rect">
                            <a:avLst/>
                          </a:prstGeom>
                        </pic:spPr>
                      </pic:pic>
                    </a:graphicData>
                  </a:graphic>
                </wp:inline>
              </w:drawing>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Minneapolis, MN</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71" w:type="dxa"/>
            <w:gridSpan w:val="9"/>
            <w:vMerge w:val="continue"/>
            <w:tcBorders/>
            <w:tcMar>
              <w:top w:w="0" w:type="dxa"/>
              <w:left w:w="0" w:type="dxa"/>
              <w:bottom w:w="0" w:type="dxa"/>
              <w:right w:w="0" w:type="dxa"/>
            </w:tcMar>
            <w:vAlign w:val="center"/>
          </w:tcPr>
          <w:p>
            <w:pPr>
              <w:pStyle w:val="Normal"/>
              <w:bidi w:val="0"/>
              <w:jc w:val="left"/>
              <w:rPr/>
            </w:pPr>
            <w:r>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55440-1441</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71" w:type="dxa"/>
            <w:gridSpan w:val="9"/>
            <w:vMerge w:val="continue"/>
            <w:tcBorders/>
            <w:tcMar>
              <w:top w:w="0" w:type="dxa"/>
              <w:left w:w="0" w:type="dxa"/>
              <w:bottom w:w="0" w:type="dxa"/>
              <w:right w:w="0" w:type="dxa"/>
            </w:tcMar>
            <w:vAlign w:val="center"/>
          </w:tcPr>
          <w:p>
            <w:pPr>
              <w:pStyle w:val="Normal"/>
              <w:bidi w:val="0"/>
              <w:jc w:val="left"/>
              <w:rPr/>
            </w:pPr>
            <w:r>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NYSE: GGG</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7169" w:type="dxa"/>
        <w:jc w:val="center"/>
        <w:tblInd w:w="0" w:type="dxa"/>
        <w:tblLayout w:type="fixed"/>
        <w:tblCellMar>
          <w:top w:w="28" w:type="dxa"/>
          <w:left w:w="28" w:type="dxa"/>
          <w:bottom w:w="28" w:type="dxa"/>
          <w:right w:w="28" w:type="dxa"/>
        </w:tblCellMar>
      </w:tblPr>
      <w:tblGrid>
        <w:gridCol w:w="1000"/>
        <w:gridCol w:w="879"/>
        <w:gridCol w:w="881"/>
        <w:gridCol w:w="1291"/>
        <w:gridCol w:w="1291"/>
        <w:gridCol w:w="1827"/>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IMMEDIATE RELEASE:</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FOR FURTHER INFORMATION:</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Wednesday, October 21, 2026</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Investors Contact: John M. Bower, 612-623-6770</w:t>
            </w:r>
          </w:p>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Media Contact: Kirstie L. Foster, 612-623-6249</w:t>
            </w:r>
          </w:p>
          <w:p>
            <w:pPr>
              <w:pStyle w:val="TableContents"/>
              <w:bidi w:val="0"/>
              <w:spacing w:lineRule="auto" w:line="240" w:before="0" w:after="0"/>
              <w:jc w:val="right"/>
              <w:rPr/>
            </w:pPr>
            <w:r>
              <w:rPr>
                <w:rFonts w:ascii="Arial;sans-serif" w:hAnsi="Arial;sans-serif"/>
                <w:b w:val="false"/>
                <w:color w:val="0000FF"/>
                <w:sz w:val="20"/>
                <w:u w:val="single"/>
              </w:rPr>
              <w:t>Kirstie_L_Foster@graco.com</w:t>
            </w:r>
            <w:r>
              <w:rPr>
                <w:color w:val="0000FF"/>
              </w:rPr>
              <w:t xml:space="preserv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Reports Record Third Quarter Sales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Growth in All Segments and Regions</w:t>
      </w:r>
    </w:p>
    <w:p>
      <w:pPr>
        <w:pStyle w:val="TextBody"/>
        <w:bidi w:val="0"/>
        <w:spacing w:lineRule="auto" w:line="288" w:before="0" w:after="0"/>
        <w:jc w:val="left"/>
        <w:rPr/>
      </w:pPr>
      <w:r>
        <w:rPr>
          <w:rFonts w:ascii="Arial;sans-serif" w:hAnsi="Arial;sans-serif"/>
          <w:b/>
          <w:color w:val="000000"/>
          <w:sz w:val="22"/>
        </w:rPr>
        <w:t xml:space="preserve">MINNEAPOLIS (October 21, 2026) </w:t>
      </w:r>
      <w:r>
        <w:rPr>
          <w:color w:val="000000"/>
        </w:rPr>
        <w:t xml:space="preserve">– </w:t>
      </w:r>
      <w:r>
        <w:rPr>
          <w:rFonts w:ascii="Arial;sans-serif" w:hAnsi="Arial;sans-serif"/>
          <w:b w:val="false"/>
          <w:color w:val="000000"/>
          <w:sz w:val="22"/>
        </w:rPr>
        <w:t xml:space="preserve">Graco Inc. </w:t>
      </w:r>
      <w:r>
        <w:rPr>
          <w:rFonts w:ascii="Arial;sans-serif" w:hAnsi="Arial;sans-serif"/>
          <w:b/>
          <w:color w:val="000000"/>
          <w:sz w:val="22"/>
        </w:rPr>
        <w:t>(NYSE: GGG)</w:t>
      </w:r>
      <w:r>
        <w:rPr>
          <w:color w:val="000000"/>
        </w:rPr>
        <w:t xml:space="preserve"> </w:t>
      </w:r>
      <w:r>
        <w:rPr>
          <w:rFonts w:ascii="Arial;sans-serif" w:hAnsi="Arial;sans-serif"/>
          <w:b w:val="false"/>
          <w:color w:val="000000"/>
          <w:sz w:val="22"/>
        </w:rPr>
        <w:t xml:space="preserve">today announced results for the third quarter ended September 25, 2026 and also announces technology partnership with ABB for data centers.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Summary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in millions except per share amounts</w:t>
      </w:r>
    </w:p>
    <w:tbl>
      <w:tblPr>
        <w:tblW w:w="10205" w:type="dxa"/>
        <w:jc w:val="left"/>
        <w:tblInd w:w="0" w:type="dxa"/>
        <w:tblLayout w:type="fixed"/>
        <w:tblCellMar>
          <w:top w:w="28" w:type="dxa"/>
          <w:left w:w="28" w:type="dxa"/>
          <w:bottom w:w="28" w:type="dxa"/>
          <w:right w:w="28" w:type="dxa"/>
        </w:tblCellMar>
      </w:tblPr>
      <w:tblGrid>
        <w:gridCol w:w="883"/>
        <w:gridCol w:w="596"/>
        <w:gridCol w:w="602"/>
        <w:gridCol w:w="226"/>
        <w:gridCol w:w="706"/>
        <w:gridCol w:w="109"/>
        <w:gridCol w:w="109"/>
        <w:gridCol w:w="109"/>
        <w:gridCol w:w="109"/>
        <w:gridCol w:w="226"/>
        <w:gridCol w:w="706"/>
        <w:gridCol w:w="109"/>
        <w:gridCol w:w="109"/>
        <w:gridCol w:w="109"/>
        <w:gridCol w:w="109"/>
        <w:gridCol w:w="217"/>
        <w:gridCol w:w="218"/>
        <w:gridCol w:w="545"/>
        <w:gridCol w:w="109"/>
        <w:gridCol w:w="109"/>
        <w:gridCol w:w="109"/>
        <w:gridCol w:w="226"/>
        <w:gridCol w:w="886"/>
        <w:gridCol w:w="109"/>
        <w:gridCol w:w="109"/>
        <w:gridCol w:w="109"/>
        <w:gridCol w:w="109"/>
        <w:gridCol w:w="226"/>
        <w:gridCol w:w="886"/>
        <w:gridCol w:w="109"/>
        <w:gridCol w:w="109"/>
        <w:gridCol w:w="109"/>
        <w:gridCol w:w="109"/>
        <w:gridCol w:w="173"/>
        <w:gridCol w:w="173"/>
        <w:gridCol w:w="639"/>
      </w:tblGrid>
      <w:tr>
        <w:trPr/>
        <w:tc>
          <w:tcPr>
            <w:tcW w:w="88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Nine Months Ended</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br/>
              <w:t> Change</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Net Earnings per Common Share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 xml:space="preserve">Adjusted (non-GAAP): </w:t>
            </w:r>
            <w:r>
              <w:rPr>
                <w:rFonts w:ascii="Arial;sans-serif" w:hAnsi="Arial;sans-serif"/>
                <w:b w:val="false"/>
                <w:color w:val="000000"/>
                <w:sz w:val="14"/>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 adjusted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adjusted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Net Earnings per Common Share, adjusted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bl>
    <w:p>
      <w:pPr>
        <w:pStyle w:val="TextBody"/>
        <w:bidi w:val="0"/>
        <w:spacing w:lineRule="auto" w:line="288" w:before="0" w:after="0"/>
        <w:jc w:val="left"/>
        <w:rPr/>
      </w:pPr>
      <w:r>
        <w:rPr>
          <w:rFonts w:ascii="Arial;sans-serif" w:hAnsi="Arial;sans-serif"/>
          <w:b w:val="false"/>
          <w:color w:val="000000"/>
          <w:sz w:val="18"/>
        </w:rPr>
        <w:t>(1)</w:t>
      </w:r>
      <w:r>
        <w:rPr>
          <w:color w:val="000000"/>
        </w:rPr>
        <w:t xml:space="preserve"> </w:t>
      </w:r>
      <w:r>
        <w:rPr>
          <w:rFonts w:ascii="Arial;sans-serif" w:hAnsi="Arial;sans-serif"/>
          <w:b w:val="false"/>
          <w:color w:val="000000"/>
          <w:sz w:val="18"/>
        </w:rPr>
        <w:t>The adjusted measures of operating earnings, net earnings and diluted net earnings per common share reflect the Company's updated non-GAAP methodology introduced in the second quarter of 2026. See Financial Results Adjusted for Comparability below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25"/>
        <w:jc w:val="left"/>
        <w:rPr/>
      </w:pPr>
      <w:r>
        <w:rPr>
          <w:color w:val="000000"/>
        </w:rPr>
        <w:t>•</w:t>
      </w:r>
      <w:r>
        <w:rPr>
          <w:rFonts w:ascii="Arial;sans-serif" w:hAnsi="Arial;sans-serif"/>
          <w:b w:val="false"/>
          <w:color w:val="000000"/>
          <w:sz w:val="22"/>
        </w:rPr>
        <w:t>Net sales for the third quarter increased by 8 percent, with 4 percentage points of organic sales growth and 4 percentage points of sales growth from acquired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25"/>
        <w:jc w:val="left"/>
        <w:rPr/>
      </w:pPr>
      <w:r>
        <w:rPr>
          <w:color w:val="000000"/>
        </w:rPr>
        <w:t>•</w:t>
      </w:r>
      <w:r>
        <w:rPr>
          <w:rFonts w:ascii="Arial;sans-serif" w:hAnsi="Arial;sans-serif"/>
          <w:b w:val="false"/>
          <w:color w:val="000000"/>
          <w:sz w:val="22"/>
        </w:rPr>
        <w:t>Operating earnings decreased 10 percent for the third quarter, primarily due to a non-cash gain of $14 million from the reduction in fair value of acquisition-related contingent consideration in the prior year that did not repeat. Adjusted operating earnings increased 1 percent as price realization offset higher product costs in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25"/>
        <w:jc w:val="left"/>
        <w:rPr/>
      </w:pPr>
      <w:r>
        <w:rPr>
          <w:color w:val="000000"/>
        </w:rPr>
        <w:t>•</w:t>
      </w:r>
      <w:r>
        <w:rPr>
          <w:rFonts w:ascii="Arial;sans-serif" w:hAnsi="Arial;sans-serif"/>
          <w:b w:val="false"/>
          <w:color w:val="000000"/>
          <w:sz w:val="22"/>
        </w:rPr>
        <w:t>Diluted net earnings per share decreased 9 percent for the third quarter. Adjusted diluted net earnings per share increased 5 percent due to higher adjusted operating earnings and the impact of share repurchases. The Company repurchased $132 million of shares in the third quarter and repurchased $463 million of shares for the year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25"/>
        <w:jc w:val="left"/>
        <w:rPr/>
      </w:pPr>
      <w:r>
        <w:rPr>
          <w:color w:val="000000"/>
        </w:rPr>
        <w:t>•</w:t>
      </w:r>
      <w:r>
        <w:rPr>
          <w:rFonts w:ascii="Arial;sans-serif" w:hAnsi="Arial;sans-serif"/>
          <w:b w:val="false"/>
          <w:color w:val="000000"/>
          <w:sz w:val="22"/>
        </w:rPr>
        <w:t>Graco entered into a license agreement with ABB expanding our patented Transverse Flux Motor technology into data center cooling towers, heat rejection systems and related thermal management applications.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2 GRACO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Graco delivered a solid quarter, with broad-based performance across our businesses and geographies. Growth in professional paint, powder finishing and semiconductor applications, together with contributions from recent acquisitions, demonstrates the diversity of our portfolio and the strength of our market positions,” said Mark Sheahan, President and Chief Executive Officer. “We are pleased with the consistency of our execution and remain focused on building on that momentum. We were encouraged that incoming organic orders increased 7% in the quarter and 4% for the year-to-date, with all three segments contributing to year-to-date order growth.”</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While end market conditions remain mixed, we have confidence in the position of our businesses and the opportunities ahead. We continue to invest in innovation and expand into attractive growth markets as evidenced by our recently announced agreement with ABB to bring our differentiated motor technology to data centers. We remain focused on executing our strategy and delivering sustainable long-term growth and shareholder value. We expect fourth quarter revenue in the range of $610 million to $640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Consolidated and Segment Results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For a discussion of the Company's consolidated and segment results for the third quarter and year to date ended September 25, 2026, refer to Management's Discussion and Analysis of Financial Condition and Results of Operations in its most recent Quarterly Report on Form 10-Q dated October 21, 2026.</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Financial Results Adjusted for Comparability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Beginning in the second quarter of 2026, the Company updated its non-GAAP adjusted measurements to exclude acquisition costs and amortization of acquired intangible assets. The Company excludes acquisition costs and amortization of acquired intangible assets to provide a consistent comparison of operating results across reporting periods. While the Company has a history of acquisition activity, the Company's acquisitions do not occur on a predictable cycle, and transactions vary in complexity, timing, size and nature. Acquisition costs include third-party legal, valuation, consulting and other incremental costs incurred in connection with acquisition activities as well as purchase accounting adjustments. Management uses these adjusted measures to evaluate operating performance and, for acquisition costs, in determining incentive compensation. These excluded items to the non-GAAP adjusted measurements provide supplemental information useful in evaluating the Company's underlying operating performance. Prior-period amounts have been recast to conform to the current presentation.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Excluding the impact of acquisition costs, amortization of acquired intangible assets, the related income tax effects of these items and excess tax benefits from stock option exercises presents a more consistent basis for comparison of financial results. A calculation of the non-GAAP adjusted measurements of operating earnings, earnings before income taxes, income taxes, effective income tax rate, net earnings and diluted earnings per share follows (in millions except per share amounts):</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3 GRACO</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5"/>
        <w:gridCol w:w="1317"/>
        <w:gridCol w:w="1324"/>
        <w:gridCol w:w="226"/>
        <w:gridCol w:w="706"/>
        <w:gridCol w:w="301"/>
        <w:gridCol w:w="109"/>
        <w:gridCol w:w="109"/>
        <w:gridCol w:w="109"/>
        <w:gridCol w:w="226"/>
        <w:gridCol w:w="706"/>
        <w:gridCol w:w="301"/>
        <w:gridCol w:w="109"/>
        <w:gridCol w:w="109"/>
        <w:gridCol w:w="109"/>
        <w:gridCol w:w="226"/>
        <w:gridCol w:w="706"/>
        <w:gridCol w:w="301"/>
        <w:gridCol w:w="109"/>
        <w:gridCol w:w="109"/>
        <w:gridCol w:w="109"/>
        <w:gridCol w:w="226"/>
        <w:gridCol w:w="706"/>
        <w:gridCol w:w="347"/>
      </w:tblGrid>
      <w:tr>
        <w:trPr/>
        <w:tc>
          <w:tcPr>
            <w:tcW w:w="16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Nine Months Ended</w:t>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 as reported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 adjusted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490.2 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474.5 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Earnings before income taxes, as reported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Earnings before income taxes, adjusted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486.4 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taxes, as reported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Tax impact of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Tax impact of 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Excess tax benefit from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taxes, adjusted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99.3 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Effective income tax rate</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As reported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18.6 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Adjusted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as reported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costs,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acquired intangible assets,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Excess tax benefit from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adjusted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400.6 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387.2 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Diluted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Earnings per Share</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As reported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Adjusted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Cautionary Statement Regarding Forward-Looking Statements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The Company desires to take advantage of the “safe harbor” provisions regarding forward-looking statements of the Private Securities Litigation Reform Act of 1995 and is filing this Cautionary Statement in order to do so. From time to time various forms filed by our Company with the Securities and Exchange Commission, including our Form 10-K, Form 10-Qs and Form 8-Ks, and other disclosures, including our 2025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4 GRACO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various risks and uncertainties may cause our Company’s actual results to differ materially from those expressed in these statements. The Company undertakes no obligation to update these statements in light of new information or future events.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Future results could differ materially from those expressed, due to the impact of changes in various factors. These risk factors include, but are not limited to, risks relating to the demand for our products and the level of commercial, industrial and construction activity worldwide; changes in currency translation rates; international and domestic instability; interest rate fluctuations and changes in credit markets; global sourcing of materials; inflationary cost pressures and our ability to raise prices without decreasing demand for our products; interruptions of or intrusions into our information systems; intellectual property rights; the use of generative artificial intelligence and other emerging technologies; conducting business internationally; catastrophic events; our ability to attract, develop and retain qualified personnel; public health crises; our growth strategies and acquisitions; potential goodwill impairment; our ability to compete effectively; our dependence on a few large customers; our dependence on cyclical industries; changes in laws and regulations; climate-related laws, regulations and accords; environmental, social and governance-related expectations and requirements; compliance with anti-corruption and trade laws; changes in tax or tariff rates or the adoption of new tax or tariff legislation; and costs associated with legal proceedings. Please refer to Item 1A of our Annual Report on Form 10-K for fiscal year 2025 (and the most recent Form 10-Q) for a more comprehensive discussion of these and other risk factors. These reports are available on the Company’s website at </w:t>
      </w:r>
      <w:r>
        <w:rPr>
          <w:rFonts w:ascii="Arial;sans-serif" w:hAnsi="Arial;sans-serif"/>
          <w:b w:val="false"/>
          <w:color w:val="0424FF"/>
          <w:sz w:val="22"/>
          <w:u w:val="single"/>
        </w:rPr>
        <w:t>www.graco.com</w:t>
      </w:r>
      <w:r>
        <w:rPr>
          <w:color w:val="000000"/>
        </w:rPr>
        <w:t xml:space="preserve"> </w:t>
      </w:r>
      <w:r>
        <w:rPr>
          <w:rFonts w:ascii="Arial;sans-serif" w:hAnsi="Arial;sans-serif"/>
          <w:b w:val="false"/>
          <w:color w:val="000000"/>
          <w:sz w:val="22"/>
        </w:rPr>
        <w:t xml:space="preserve">and the Securities and Exchange Commission’s website at </w:t>
      </w:r>
      <w:r>
        <w:rPr>
          <w:rFonts w:ascii="Arial;sans-serif" w:hAnsi="Arial;sans-serif"/>
          <w:b w:val="false"/>
          <w:color w:val="0424FF"/>
          <w:sz w:val="22"/>
          <w:u w:val="single"/>
        </w:rPr>
        <w:t>www.sec.gov</w:t>
      </w:r>
      <w:r>
        <w:rPr>
          <w:rFonts w:ascii="Arial;sans-serif" w:hAnsi="Arial;sans-serif"/>
          <w:b w:val="false"/>
          <w:color w:val="000000"/>
          <w:sz w:val="22"/>
        </w:rPr>
        <w:t>. Shareholders, potential investors and other readers are urged to consider these factors in evaluating forward-looking statements and are cautioned not to place undue reliance on such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Investors should realize that factors other than those identified above and in Item 1A of our Annual Report on Form 10-K for fiscal year 2025 might prove important to the Company’s future results. It is not possible for management to identify each and every factor that may have an impact on the Company’s operations in the future as new factors can develop from time to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Conference Call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Graco management will hold a conference call, including slides via webcast, with analysts and institutional investors on Thursday, October 22, 2026, at 11 a.m. ET, 10 a.m. CT, to discuss Graco’s third quarter results.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A real-time listen-only webcast of the conference call will be broadcast by Nasdaq. Individuals can access the call and view the slides on the Company’s website at </w:t>
      </w:r>
      <w:r>
        <w:rPr>
          <w:rFonts w:ascii="Arial;sans-serif" w:hAnsi="Arial;sans-serif"/>
          <w:b w:val="false"/>
          <w:color w:val="0424FF"/>
          <w:sz w:val="22"/>
          <w:u w:val="single"/>
        </w:rPr>
        <w:t>www.graco.com</w:t>
      </w:r>
      <w:r>
        <w:rPr>
          <w:rFonts w:ascii="Arial;sans-serif" w:hAnsi="Arial;sans-serif"/>
          <w:b w:val="false"/>
          <w:color w:val="000000"/>
          <w:sz w:val="22"/>
        </w:rPr>
        <w:t>. Listeners should go to the website at least 15 minutes prior to the live conference call to install any necessary audio software.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Graco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Graco Inc. supplies technology and expertise for the management of fluids and coatings in both industrial and commercial applications. It designs, manufactures and markets systems and equipment to move, measure, control, dispense and spray fluid and powder materials. A recognized leader in its specialties, Minneapolis-based Graco serves customers around the world in the manufacturing, processing, construction and maintenance industries. For additional information about Graco Inc., please visit us at </w:t>
      </w:r>
      <w:r>
        <w:rPr>
          <w:rFonts w:ascii="Arial;sans-serif" w:hAnsi="Arial;sans-serif"/>
          <w:b w:val="false"/>
          <w:color w:val="0000FF"/>
          <w:sz w:val="22"/>
          <w:u w:val="single"/>
        </w:rPr>
        <w:t>www.graco.com</w:t>
      </w:r>
      <w:r>
        <w:rPr>
          <w:rFonts w:ascii="Arial;sans-serif" w:hAnsi="Arial;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5 GRACO</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pPr>
      <w:r>
        <w:rPr>
          <w:rFonts w:ascii="Arial;sans-serif" w:hAnsi="Arial;sans-serif"/>
          <w:b/>
          <w:color w:val="000000"/>
          <w:sz w:val="24"/>
        </w:rPr>
        <w:t xml:space="preserve">CONSOLIDATED STATEMENTS OF EARNINGS </w:t>
      </w:r>
      <w:r>
        <w:rPr>
          <w:rFonts w:ascii="Arial;sans-serif" w:hAnsi="Arial;sans-serif"/>
          <w:b/>
          <w:color w:val="000000"/>
          <w:sz w:val="22"/>
        </w:rPr>
        <w:t>(Unaudited)</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349"/>
        <w:gridCol w:w="1170"/>
        <w:gridCol w:w="1174"/>
        <w:gridCol w:w="226"/>
        <w:gridCol w:w="946"/>
        <w:gridCol w:w="109"/>
        <w:gridCol w:w="109"/>
        <w:gridCol w:w="109"/>
        <w:gridCol w:w="109"/>
        <w:gridCol w:w="226"/>
        <w:gridCol w:w="946"/>
        <w:gridCol w:w="109"/>
        <w:gridCol w:w="109"/>
        <w:gridCol w:w="109"/>
        <w:gridCol w:w="109"/>
        <w:gridCol w:w="226"/>
        <w:gridCol w:w="1126"/>
        <w:gridCol w:w="109"/>
        <w:gridCol w:w="109"/>
        <w:gridCol w:w="109"/>
        <w:gridCol w:w="109"/>
        <w:gridCol w:w="226"/>
        <w:gridCol w:w="1126"/>
        <w:gridCol w:w="156"/>
      </w:tblGrid>
      <w:tr>
        <w:trPr/>
        <w:tc>
          <w:tcPr>
            <w:tcW w:w="134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Nine Months Ended</w:t>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1,717,081 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1,643,448 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products sold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290,162 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776,960 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289,225 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893,808 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866,488 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Product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Selling, marketing and distribution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203,567 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460,986 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466,218 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income,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Earnings Before Income Taxes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473,929 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478,142 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384,994 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389,352 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per Common Share</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Shares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166,693 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4"/>
        </w:rPr>
        <w:t xml:space="preserve">SEGMENT INFORMATION </w:t>
      </w:r>
      <w:r>
        <w:rPr>
          <w:rFonts w:ascii="Arial;sans-serif" w:hAnsi="Arial;sans-serif"/>
          <w:b/>
          <w:color w:val="000000"/>
          <w:sz w:val="22"/>
        </w:rPr>
        <w:t>(Unaudited)</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(In thousands)</w:t>
      </w:r>
    </w:p>
    <w:tbl>
      <w:tblPr>
        <w:tblW w:w="9885" w:type="dxa"/>
        <w:jc w:val="center"/>
        <w:tblInd w:w="0" w:type="dxa"/>
        <w:tblLayout w:type="fixed"/>
        <w:tblCellMar>
          <w:top w:w="28" w:type="dxa"/>
          <w:left w:w="28" w:type="dxa"/>
          <w:bottom w:w="28" w:type="dxa"/>
          <w:right w:w="28" w:type="dxa"/>
        </w:tblCellMar>
      </w:tblPr>
      <w:tblGrid>
        <w:gridCol w:w="1222"/>
        <w:gridCol w:w="1071"/>
        <w:gridCol w:w="1082"/>
        <w:gridCol w:w="226"/>
        <w:gridCol w:w="946"/>
        <w:gridCol w:w="109"/>
        <w:gridCol w:w="109"/>
        <w:gridCol w:w="109"/>
        <w:gridCol w:w="109"/>
        <w:gridCol w:w="226"/>
        <w:gridCol w:w="946"/>
        <w:gridCol w:w="109"/>
        <w:gridCol w:w="109"/>
        <w:gridCol w:w="109"/>
        <w:gridCol w:w="109"/>
        <w:gridCol w:w="226"/>
        <w:gridCol w:w="1126"/>
        <w:gridCol w:w="109"/>
        <w:gridCol w:w="109"/>
        <w:gridCol w:w="109"/>
        <w:gridCol w:w="109"/>
        <w:gridCol w:w="226"/>
        <w:gridCol w:w="112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Nine Months Ended</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Sep 26,</w:t>
              <w:br/>
              <w:t>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Contractor</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806,419 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Industrial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712,521 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Expansion Markets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1,717,081 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1,643,448 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Contractor</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205,292 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Industrial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 xml:space="preserve">Expansion Markets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Unallocated corporate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Contingent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460,986 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466,218 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2888/000004288817000035/a31restatedarticlesofincor.htm" TargetMode="External"/><Relationship Id="rId3" Type="http://schemas.openxmlformats.org/officeDocument/2006/relationships/hyperlink" Target="https://www.sec.gov/Archives/edgar/data/42888/000004288825000011/ggg12272024exhibit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11369</Words>
  <Characters>63173</Characters>
  <CharactersWithSpaces>72917</CharactersWithSpaces>
  <Paragraphs>2989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