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Etchart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 11TH AVENUE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GRACO INC</w:t>
              </w:r>
            </w:hyperlink>
            <w:r>
              <w:rPr/>
              <w:t xml:space="preserve"> [ </w:t>
            </w:r>
            <w:r>
              <w:rPr>
                <w:rFonts w:ascii="Times;serif" w:hAnsi="Times;serif"/>
                <w:color w:val="0000FF"/>
                <w:sz w:val="24"/>
                <w:shd w:fill="FFFFFF" w:val="clear"/>
              </w:rPr>
              <w:t>GGG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814"/>
        <w:gridCol w:w="426"/>
        <w:gridCol w:w="981"/>
        <w:gridCol w:w="1392"/>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36.0867</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49,670.426</w:t>
            </w:r>
            <w:r>
              <w:rPr>
                <w:rFonts w:ascii="Times;serif" w:hAnsi="Times;serif"/>
                <w:color w:val="008000"/>
                <w:position w:val="7"/>
                <w:sz w:val="16"/>
                <w:sz w:val="20"/>
                <w:shd w:fill="FFFFFF" w:val="clear"/>
              </w:rPr>
              <w:t>(1)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80.0145</w:t>
            </w:r>
            <w:r>
              <w:rPr>
                <w:rFonts w:ascii="Times;serif" w:hAnsi="Times;serif"/>
                <w:color w:val="008000"/>
                <w:position w:val="7"/>
                <w:sz w:val="16"/>
                <w:sz w:val="20"/>
                <w:shd w:fill="FFFFFF" w:val="clear"/>
              </w:rPr>
              <w:t>(2)</w:t>
            </w:r>
          </w:p>
        </w:tc>
        <w:tc>
          <w:tcPr>
            <w:tcW w:w="13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46,452.426</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36.0867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of securities owned includes shares of Graco Common Stock acquired under the Graco Inc. Automatic Dividend Reinvestment Plan, exempt under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at prices ranging from $79.97 to $80.04, inclusive. The reporting person undertakes to provide Graco Inc., and security holder of Graco Inc. or the staff of the Securities and Exchange Commission, upon request, with full information regarding the number of shares sold at each separate price within the range set forth in the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Nonemployee director stock option granted pursuant to the Graco Inc. 2015 Stock Incentive Plan in a transaction exempt under Rule 16b-3. The stock option is fully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J. Humke, attorney-in-fact for Mr. Etchart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8352" TargetMode="External"/><Relationship Id="rId5" Type="http://schemas.openxmlformats.org/officeDocument/2006/relationships/hyperlink" Target="http://www.sec.gov/cgi-bin/browse-edgar?action=getcompany&amp;CIK=00000428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3846</Characters>
  <CharactersWithSpaces>4470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