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21,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Graco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363"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34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Minnesota</w:t>
            </w:r>
          </w:p>
        </w:tc>
        <w:tc>
          <w:tcPr>
            <w:tcW w:w="22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001-09249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4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41-0285640</w:t>
            </w:r>
          </w:p>
        </w:tc>
        <w:tc>
          <w:tcPr>
            <w:tcW w:w="100" w:type="dxa"/>
            <w:vAlign w:val="bottom"/>
          </w:tcPr>
          <w:p>
            <w:pPr>
              <w:spacing w:after="0"/>
              <w:rPr>
                <w:sz w:val="20"/>
                <w:szCs w:val="20"/>
                <w:color w:val="auto"/>
              </w:rPr>
            </w:pPr>
          </w:p>
        </w:tc>
      </w:tr>
      <w:tr>
        <w:trPr>
          <w:trHeight w:val="169"/>
        </w:trPr>
        <w:tc>
          <w:tcPr>
            <w:tcW w:w="100" w:type="dxa"/>
            <w:vAlign w:val="bottom"/>
          </w:tcPr>
          <w:p>
            <w:pPr>
              <w:spacing w:after="0"/>
              <w:rPr>
                <w:sz w:val="14"/>
                <w:szCs w:val="14"/>
                <w:color w:val="auto"/>
              </w:rPr>
            </w:pPr>
          </w:p>
        </w:tc>
        <w:tc>
          <w:tcPr>
            <w:tcW w:w="2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300" w:type="dxa"/>
            <w:vAlign w:val="bottom"/>
            <w:tcBorders>
              <w:top w:val="single" w:sz="8" w:color="auto"/>
            </w:tcBorders>
            <w:gridSpan w:val="3"/>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00" w:type="dxa"/>
            <w:vAlign w:val="bottom"/>
          </w:tcPr>
          <w:p>
            <w:pPr>
              <w:spacing w:after="0"/>
              <w:rPr>
                <w:sz w:val="14"/>
                <w:szCs w:val="14"/>
                <w:color w:val="auto"/>
              </w:rPr>
            </w:pPr>
          </w:p>
        </w:tc>
        <w:tc>
          <w:tcPr>
            <w:tcW w:w="344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100" w:type="dxa"/>
            <w:vAlign w:val="bottom"/>
          </w:tcPr>
          <w:p>
            <w:pPr>
              <w:spacing w:after="0"/>
              <w:rPr>
                <w:sz w:val="14"/>
                <w:szCs w:val="14"/>
                <w:color w:val="auto"/>
              </w:rPr>
            </w:pPr>
          </w:p>
        </w:tc>
      </w:tr>
      <w:tr>
        <w:trPr>
          <w:trHeight w:val="234"/>
        </w:trPr>
        <w:tc>
          <w:tcPr>
            <w:tcW w:w="100" w:type="dxa"/>
            <w:vAlign w:val="bottom"/>
          </w:tcPr>
          <w:p>
            <w:pPr>
              <w:spacing w:after="0"/>
              <w:rPr>
                <w:sz w:val="20"/>
                <w:szCs w:val="20"/>
                <w:color w:val="auto"/>
              </w:rPr>
            </w:pPr>
          </w:p>
        </w:tc>
        <w:tc>
          <w:tcPr>
            <w:tcW w:w="34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8"/>
              </w:rPr>
              <w:t>Incorporation)</w:t>
            </w: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97"/>
        </w:trPr>
        <w:tc>
          <w:tcPr>
            <w:tcW w:w="100" w:type="dxa"/>
            <w:vAlign w:val="bottom"/>
          </w:tcPr>
          <w:p>
            <w:pPr>
              <w:spacing w:after="0"/>
              <w:rPr>
                <w:sz w:val="24"/>
                <w:szCs w:val="24"/>
                <w:color w:val="auto"/>
              </w:rPr>
            </w:pPr>
          </w:p>
        </w:tc>
        <w:tc>
          <w:tcPr>
            <w:tcW w:w="348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7"/>
              </w:rPr>
              <w:t>88 – 11th Avenue Northeast</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Borders>
              <w:bottom w:val="single" w:sz="8" w:color="auto"/>
            </w:tcBorders>
          </w:tcPr>
          <w:p>
            <w:pPr>
              <w:spacing w:after="0"/>
              <w:rPr>
                <w:sz w:val="23"/>
                <w:szCs w:val="23"/>
                <w:color w:val="auto"/>
              </w:rPr>
            </w:pPr>
          </w:p>
        </w:tc>
        <w:tc>
          <w:tcPr>
            <w:tcW w:w="348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Minneapolis, Minnesota</w:t>
            </w:r>
          </w:p>
        </w:tc>
        <w:tc>
          <w:tcPr>
            <w:tcW w:w="1300" w:type="dxa"/>
            <w:vAlign w:val="bottom"/>
            <w:tcBorders>
              <w:bottom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55413</w:t>
            </w:r>
          </w:p>
        </w:tc>
        <w:tc>
          <w:tcPr>
            <w:tcW w:w="100" w:type="dxa"/>
            <w:vAlign w:val="bottom"/>
            <w:tcBorders>
              <w:bottom w:val="single" w:sz="8" w:color="auto"/>
            </w:tcBorders>
          </w:tcPr>
          <w:p>
            <w:pPr>
              <w:spacing w:after="0"/>
              <w:rPr>
                <w:sz w:val="23"/>
                <w:szCs w:val="23"/>
                <w:color w:val="auto"/>
              </w:rPr>
            </w:pPr>
          </w:p>
        </w:tc>
      </w:tr>
      <w:tr>
        <w:trPr>
          <w:trHeight w:val="228"/>
        </w:trPr>
        <w:tc>
          <w:tcPr>
            <w:tcW w:w="100" w:type="dxa"/>
            <w:vAlign w:val="bottom"/>
          </w:tcPr>
          <w:p>
            <w:pPr>
              <w:spacing w:after="0"/>
              <w:rPr>
                <w:sz w:val="19"/>
                <w:szCs w:val="19"/>
                <w:color w:val="auto"/>
              </w:rPr>
            </w:pPr>
          </w:p>
        </w:tc>
        <w:tc>
          <w:tcPr>
            <w:tcW w:w="478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4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34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(Zip Code)</w:t>
            </w:r>
          </w:p>
        </w:tc>
        <w:tc>
          <w:tcPr>
            <w:tcW w:w="100" w:type="dxa"/>
            <w:vAlign w:val="bottom"/>
          </w:tcPr>
          <w:p>
            <w:pPr>
              <w:spacing w:after="0"/>
              <w:rPr>
                <w:sz w:val="19"/>
                <w:szCs w:val="19"/>
                <w:color w:val="auto"/>
              </w:rPr>
            </w:pPr>
          </w:p>
        </w:tc>
      </w:tr>
    </w:tbl>
    <w:p>
      <w:pPr>
        <w:spacing w:after="0" w:line="135"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(612) 623-6000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19685</wp:posOffset>
            </wp:positionV>
            <wp:extent cx="29660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34"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54"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19685</wp:posOffset>
            </wp:positionV>
            <wp:extent cx="3429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4"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390" w:type="dxa"/>
        <w:tblCellMar>
          <w:top w:w="0" w:type="dxa"/>
          <w:left w:w="0" w:type="dxa"/>
          <w:bottom w:w="0" w:type="dxa"/>
          <w:right w:w="0" w:type="dxa"/>
        </w:tblCellMar>
      </w:tblPr>
      <w:tr>
        <w:trPr>
          <w:trHeight w:val="526"/>
        </w:trPr>
        <w:tc>
          <w:tcPr>
            <w:tcW w:w="2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2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GGG</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31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31F20"/>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740"/>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7.01 Regulation FD Disclosure.</w:t>
      </w:r>
    </w:p>
    <w:p>
      <w:pPr>
        <w:spacing w:after="0" w:line="23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On May 21, 2026, Graco Inc. (the “Company”) issued a press release announcing it had signed a definitive agreement to acquire to acquire Valco Cincinnati, Inc. doing business as Valco Melton, a global provider of adhesive application and quality assurance systems.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full text of the press release, dated May 21, 2026, is attached as Exhibit 99.1 to this Current Report on Form 8-K.</w:t>
      </w: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information in the exhibit hereto contains “forward-looking statements” within the meaning of Section 27A of the Securities Act and Section 21E of the Exchange Act. Such statements are made based on the current beliefs and expectations of the Company’s management and are subject to certain risks and uncertainties. Actual results or events may differ from those anticipated by forward-looking statements. Please refer to the last paragraph of the attached press release for information concerning risks, uncertainties, and other factors that may affect future results.</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information furnished pursuant to Item 7.01 of this Current Report, including Exhibit 99.1, shall not be deemed “filed” for purposes of Section 18 of the Securities Exchange Act of 1934, as amended (the “Exchange Act”), or otherwise subject to the liability of such section, nor shall it be incorporated by reference into future filings by the Company under the Securities Act, or under the Exchange Act, unless the Company expressly sets forth in such future filing that such information is to be considered “filed” or incorporated by reference therein.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 Exhibits</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0000FF"/>
        </w:rPr>
        <w:t>99.1</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Press Release dated May 21, 2026.</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104 Cover Page Interactive Data File (included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1064260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auto"/>
        </w:rPr>
        <w:t>Signature</w:t>
      </w:r>
    </w:p>
    <w:p>
      <w:pPr>
        <w:spacing w:after="0" w:line="260" w:lineRule="exact"/>
        <w:rPr>
          <w:sz w:val="20"/>
          <w:szCs w:val="20"/>
          <w:color w:val="auto"/>
        </w:rPr>
      </w:pPr>
    </w:p>
    <w:p>
      <w:pPr>
        <w:ind w:firstLine="202"/>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GRACO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780" w:val="left"/>
          <w:tab w:leader="none" w:pos="3780" w:val="left"/>
          <w:tab w:leader="none" w:pos="446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u w:val="single" w:color="auto"/>
          <w:color w:val="auto"/>
        </w:rPr>
        <w:t>May 21,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Joseph James Humke</w:t>
      </w:r>
      <w:r>
        <w:rPr>
          <w:rFonts w:ascii="Times New Roman" w:cs="Times New Roman" w:eastAsia="Times New Roman" w:hAnsi="Times New Roman"/>
          <w:sz w:val="19"/>
          <w:szCs w:val="19"/>
          <w:color w:val="auto"/>
        </w:rPr>
        <w:t>______________________</w:t>
      </w:r>
    </w:p>
    <w:p>
      <w:pPr>
        <w:spacing w:after="0" w:line="2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Joseph James Humke</w:t>
      </w:r>
    </w:p>
    <w:p>
      <w:pPr>
        <w:spacing w:after="0" w:line="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Its: Executive Vice President, General Counsel and Corporate Secretary</w:t>
      </w:r>
    </w:p>
    <w:p>
      <w:pPr>
        <w:sectPr>
          <w:pgSz w:w="11900" w:h="16838" w:orient="portrait"/>
          <w:cols w:equalWidth="0" w:num="1">
            <w:col w:w="11240"/>
          </w:cols>
          <w:pgMar w:left="320" w:top="882" w:right="339" w:bottom="1440" w:gutter="0" w:footer="0" w:header="0"/>
        </w:sectPr>
      </w:pPr>
    </w:p>
    <w:bookmarkStart w:id="3" w:name="page4"/>
    <w:bookmarkEnd w:id="3"/>
    <w:tbl>
      <w:tblPr>
        <w:tblLayout w:type="fixed"/>
        <w:tblInd w:w="20" w:type="dxa"/>
        <w:tblCellMar>
          <w:top w:w="0" w:type="dxa"/>
          <w:left w:w="0" w:type="dxa"/>
          <w:bottom w:w="0" w:type="dxa"/>
          <w:right w:w="0" w:type="dxa"/>
        </w:tblCellMar>
      </w:tblPr>
      <w:tr>
        <w:trPr>
          <w:trHeight w:val="239"/>
        </w:trPr>
        <w:tc>
          <w:tcPr>
            <w:tcW w:w="5300" w:type="dxa"/>
            <w:vAlign w:val="bottom"/>
          </w:tcPr>
          <w:p>
            <w:pPr>
              <w:spacing w:after="0"/>
              <w:rPr>
                <w:sz w:val="20"/>
                <w:szCs w:val="20"/>
                <w:color w:val="auto"/>
              </w:rPr>
            </w:pPr>
            <w:r>
              <w:rPr>
                <w:rFonts w:ascii="Arial" w:cs="Arial" w:eastAsia="Arial" w:hAnsi="Arial"/>
                <w:sz w:val="18"/>
                <w:szCs w:val="18"/>
                <w:color w:val="auto"/>
              </w:rPr>
              <w:t>Exhibit 99.1</w:t>
            </w:r>
          </w:p>
        </w:tc>
        <w:tc>
          <w:tcPr>
            <w:tcW w:w="5900" w:type="dxa"/>
            <w:vAlign w:val="bottom"/>
            <w:gridSpan w:val="3"/>
          </w:tcPr>
          <w:p>
            <w:pPr>
              <w:jc w:val="right"/>
              <w:ind w:right="1430"/>
              <w:spacing w:after="0"/>
              <w:rPr>
                <w:sz w:val="20"/>
                <w:szCs w:val="20"/>
                <w:color w:val="auto"/>
              </w:rPr>
            </w:pPr>
            <w:r>
              <w:rPr>
                <w:rFonts w:ascii="Arial" w:cs="Arial" w:eastAsia="Arial" w:hAnsi="Arial"/>
                <w:sz w:val="18"/>
                <w:szCs w:val="18"/>
                <w:color w:val="auto"/>
              </w:rPr>
              <w:t>GRACO INC.</w:t>
            </w:r>
          </w:p>
        </w:tc>
      </w:tr>
      <w:tr>
        <w:trPr>
          <w:trHeight w:val="270"/>
        </w:trPr>
        <w:tc>
          <w:tcPr>
            <w:tcW w:w="5300" w:type="dxa"/>
            <w:vAlign w:val="bottom"/>
          </w:tcPr>
          <w:p>
            <w:pPr>
              <w:spacing w:after="0"/>
              <w:rPr>
                <w:sz w:val="23"/>
                <w:szCs w:val="23"/>
                <w:color w:val="auto"/>
              </w:rPr>
            </w:pPr>
          </w:p>
        </w:tc>
        <w:tc>
          <w:tcPr>
            <w:tcW w:w="5900" w:type="dxa"/>
            <w:vAlign w:val="bottom"/>
            <w:gridSpan w:val="3"/>
          </w:tcPr>
          <w:p>
            <w:pPr>
              <w:jc w:val="right"/>
              <w:ind w:right="1430"/>
              <w:spacing w:after="0"/>
              <w:rPr>
                <w:sz w:val="20"/>
                <w:szCs w:val="20"/>
                <w:color w:val="auto"/>
              </w:rPr>
            </w:pPr>
            <w:r>
              <w:rPr>
                <w:rFonts w:ascii="Arial" w:cs="Arial" w:eastAsia="Arial" w:hAnsi="Arial"/>
                <w:sz w:val="18"/>
                <w:szCs w:val="18"/>
                <w:color w:val="auto"/>
              </w:rPr>
              <w:t>P.O. Box 1441</w:t>
            </w:r>
          </w:p>
        </w:tc>
      </w:tr>
      <w:tr>
        <w:trPr>
          <w:trHeight w:val="270"/>
        </w:trPr>
        <w:tc>
          <w:tcPr>
            <w:tcW w:w="5300" w:type="dxa"/>
            <w:vAlign w:val="bottom"/>
          </w:tcPr>
          <w:p>
            <w:pPr>
              <w:spacing w:after="0"/>
              <w:rPr>
                <w:sz w:val="23"/>
                <w:szCs w:val="23"/>
                <w:color w:val="auto"/>
              </w:rPr>
            </w:pPr>
          </w:p>
        </w:tc>
        <w:tc>
          <w:tcPr>
            <w:tcW w:w="5900" w:type="dxa"/>
            <w:vAlign w:val="bottom"/>
            <w:gridSpan w:val="3"/>
          </w:tcPr>
          <w:p>
            <w:pPr>
              <w:jc w:val="right"/>
              <w:ind w:right="1430"/>
              <w:spacing w:after="0"/>
              <w:rPr>
                <w:sz w:val="20"/>
                <w:szCs w:val="20"/>
                <w:color w:val="auto"/>
              </w:rPr>
            </w:pPr>
            <w:r>
              <w:rPr>
                <w:rFonts w:ascii="Arial" w:cs="Arial" w:eastAsia="Arial" w:hAnsi="Arial"/>
                <w:sz w:val="18"/>
                <w:szCs w:val="18"/>
                <w:color w:val="auto"/>
              </w:rPr>
              <w:t>Minneapolis, MN</w:t>
            </w:r>
          </w:p>
        </w:tc>
      </w:tr>
      <w:tr>
        <w:trPr>
          <w:trHeight w:val="270"/>
        </w:trPr>
        <w:tc>
          <w:tcPr>
            <w:tcW w:w="5300" w:type="dxa"/>
            <w:vAlign w:val="bottom"/>
          </w:tcPr>
          <w:p>
            <w:pPr>
              <w:spacing w:after="0"/>
              <w:rPr>
                <w:sz w:val="23"/>
                <w:szCs w:val="23"/>
                <w:color w:val="auto"/>
              </w:rPr>
            </w:pPr>
          </w:p>
        </w:tc>
        <w:tc>
          <w:tcPr>
            <w:tcW w:w="5900" w:type="dxa"/>
            <w:vAlign w:val="bottom"/>
            <w:gridSpan w:val="3"/>
          </w:tcPr>
          <w:p>
            <w:pPr>
              <w:jc w:val="right"/>
              <w:ind w:right="1430"/>
              <w:spacing w:after="0"/>
              <w:rPr>
                <w:sz w:val="20"/>
                <w:szCs w:val="20"/>
                <w:color w:val="auto"/>
              </w:rPr>
            </w:pPr>
            <w:r>
              <w:rPr>
                <w:rFonts w:ascii="Arial" w:cs="Arial" w:eastAsia="Arial" w:hAnsi="Arial"/>
                <w:sz w:val="18"/>
                <w:szCs w:val="18"/>
                <w:color w:val="auto"/>
              </w:rPr>
              <w:t>55440-1441</w:t>
            </w:r>
          </w:p>
        </w:tc>
      </w:tr>
      <w:tr>
        <w:trPr>
          <w:trHeight w:val="270"/>
        </w:trPr>
        <w:tc>
          <w:tcPr>
            <w:tcW w:w="5300" w:type="dxa"/>
            <w:vAlign w:val="bottom"/>
          </w:tcPr>
          <w:p>
            <w:pPr>
              <w:spacing w:after="0"/>
              <w:rPr>
                <w:sz w:val="23"/>
                <w:szCs w:val="23"/>
                <w:color w:val="auto"/>
              </w:rPr>
            </w:pPr>
          </w:p>
        </w:tc>
        <w:tc>
          <w:tcPr>
            <w:tcW w:w="5900" w:type="dxa"/>
            <w:vAlign w:val="bottom"/>
            <w:gridSpan w:val="3"/>
          </w:tcPr>
          <w:p>
            <w:pPr>
              <w:jc w:val="right"/>
              <w:ind w:right="1430"/>
              <w:spacing w:after="0"/>
              <w:rPr>
                <w:sz w:val="20"/>
                <w:szCs w:val="20"/>
                <w:color w:val="auto"/>
              </w:rPr>
            </w:pPr>
            <w:r>
              <w:rPr>
                <w:rFonts w:ascii="Arial" w:cs="Arial" w:eastAsia="Arial" w:hAnsi="Arial"/>
                <w:sz w:val="18"/>
                <w:szCs w:val="18"/>
                <w:color w:val="auto"/>
              </w:rPr>
              <w:t>NYSE: GGG</w:t>
            </w:r>
          </w:p>
        </w:tc>
      </w:tr>
      <w:tr>
        <w:trPr>
          <w:trHeight w:val="342"/>
        </w:trPr>
        <w:tc>
          <w:tcPr>
            <w:tcW w:w="530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590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FURTHER INFORMATION:</w:t>
            </w:r>
          </w:p>
        </w:tc>
      </w:tr>
      <w:tr>
        <w:trPr>
          <w:trHeight w:val="181"/>
        </w:trPr>
        <w:tc>
          <w:tcPr>
            <w:tcW w:w="5300" w:type="dxa"/>
            <w:vAlign w:val="bottom"/>
          </w:tcPr>
          <w:p>
            <w:pPr>
              <w:spacing w:after="0" w:line="181" w:lineRule="exact"/>
              <w:rPr>
                <w:sz w:val="20"/>
                <w:szCs w:val="20"/>
                <w:color w:val="auto"/>
              </w:rPr>
            </w:pPr>
            <w:r>
              <w:rPr>
                <w:rFonts w:ascii="Arial" w:cs="Arial" w:eastAsia="Arial" w:hAnsi="Arial"/>
                <w:sz w:val="18"/>
                <w:szCs w:val="18"/>
                <w:color w:val="auto"/>
              </w:rPr>
              <w:t>May 21, 2026</w:t>
            </w:r>
          </w:p>
        </w:tc>
        <w:tc>
          <w:tcPr>
            <w:tcW w:w="5900" w:type="dxa"/>
            <w:vAlign w:val="bottom"/>
            <w:gridSpan w:val="3"/>
          </w:tcPr>
          <w:p>
            <w:pPr>
              <w:jc w:val="right"/>
              <w:spacing w:after="0" w:line="181" w:lineRule="exact"/>
              <w:rPr>
                <w:sz w:val="20"/>
                <w:szCs w:val="20"/>
                <w:color w:val="auto"/>
              </w:rPr>
            </w:pPr>
            <w:r>
              <w:rPr>
                <w:rFonts w:ascii="Arial" w:cs="Arial" w:eastAsia="Arial" w:hAnsi="Arial"/>
                <w:sz w:val="18"/>
                <w:szCs w:val="18"/>
                <w:color w:val="auto"/>
              </w:rPr>
              <w:t>Investors: John Bower, 612-623-6770</w:t>
            </w:r>
          </w:p>
        </w:tc>
      </w:tr>
      <w:tr>
        <w:trPr>
          <w:trHeight w:val="189"/>
        </w:trPr>
        <w:tc>
          <w:tcPr>
            <w:tcW w:w="53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34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John_M_Bower@graco.com</w:t>
            </w:r>
          </w:p>
        </w:tc>
      </w:tr>
      <w:tr>
        <w:trPr>
          <w:trHeight w:val="169"/>
        </w:trPr>
        <w:tc>
          <w:tcPr>
            <w:tcW w:w="5300" w:type="dxa"/>
            <w:vAlign w:val="bottom"/>
          </w:tcPr>
          <w:p>
            <w:pPr>
              <w:spacing w:after="0"/>
              <w:rPr>
                <w:sz w:val="14"/>
                <w:szCs w:val="14"/>
                <w:color w:val="auto"/>
              </w:rPr>
            </w:pPr>
          </w:p>
        </w:tc>
        <w:tc>
          <w:tcPr>
            <w:tcW w:w="3620" w:type="dxa"/>
            <w:vAlign w:val="bottom"/>
            <w:gridSpan w:val="2"/>
          </w:tcPr>
          <w:p>
            <w:pPr>
              <w:ind w:left="3040"/>
              <w:spacing w:after="0" w:line="169" w:lineRule="exact"/>
              <w:rPr>
                <w:sz w:val="20"/>
                <w:szCs w:val="20"/>
                <w:color w:val="auto"/>
              </w:rPr>
            </w:pPr>
            <w:r>
              <w:rPr>
                <w:rFonts w:ascii="Arial" w:cs="Arial" w:eastAsia="Arial" w:hAnsi="Arial"/>
                <w:sz w:val="18"/>
                <w:szCs w:val="18"/>
                <w:color w:val="auto"/>
              </w:rPr>
              <w:t>Media:</w:t>
            </w:r>
          </w:p>
        </w:tc>
        <w:tc>
          <w:tcPr>
            <w:tcW w:w="2280" w:type="dxa"/>
            <w:vAlign w:val="bottom"/>
            <w:tcBorders>
              <w:top w:val="single" w:sz="8" w:color="0000FF"/>
            </w:tcBorders>
          </w:tcPr>
          <w:p>
            <w:pPr>
              <w:jc w:val="right"/>
              <w:spacing w:after="0" w:line="169" w:lineRule="exact"/>
              <w:rPr>
                <w:sz w:val="20"/>
                <w:szCs w:val="20"/>
                <w:color w:val="auto"/>
              </w:rPr>
            </w:pPr>
            <w:r>
              <w:rPr>
                <w:rFonts w:ascii="Arial" w:cs="Arial" w:eastAsia="Arial" w:hAnsi="Arial"/>
                <w:sz w:val="18"/>
                <w:szCs w:val="18"/>
                <w:color w:val="auto"/>
                <w:w w:val="99"/>
              </w:rPr>
              <w:t>Kirstie Foster, 612-623-6249</w:t>
            </w:r>
          </w:p>
        </w:tc>
      </w:tr>
      <w:tr>
        <w:trPr>
          <w:trHeight w:val="189"/>
        </w:trPr>
        <w:tc>
          <w:tcPr>
            <w:tcW w:w="53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340" w:type="dxa"/>
            <w:vAlign w:val="bottom"/>
            <w:tcBorders>
              <w:bottom w:val="single" w:sz="8" w:color="0000FF"/>
            </w:tcBorders>
            <w:gridSpan w:val="2"/>
          </w:tcPr>
          <w:p>
            <w:pPr>
              <w:jc w:val="right"/>
              <w:spacing w:after="0" w:line="189" w:lineRule="exact"/>
              <w:rPr>
                <w:sz w:val="20"/>
                <w:szCs w:val="20"/>
                <w:color w:val="auto"/>
              </w:rPr>
            </w:pPr>
            <w:r>
              <w:rPr>
                <w:rFonts w:ascii="Arial" w:cs="Arial" w:eastAsia="Arial" w:hAnsi="Arial"/>
                <w:sz w:val="18"/>
                <w:szCs w:val="18"/>
                <w:color w:val="0000FF"/>
                <w:w w:val="99"/>
              </w:rPr>
              <w:t>Kirstie_L_Foster@graco.com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6611620</wp:posOffset>
            </wp:positionH>
            <wp:positionV relativeFrom="page">
              <wp:posOffset>603250</wp:posOffset>
            </wp:positionV>
            <wp:extent cx="72009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20090" cy="7886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-1208405</wp:posOffset>
            </wp:positionV>
            <wp:extent cx="221170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11705" cy="445770"/>
                    </a:xfrm>
                    <a:prstGeom prst="rect">
                      <a:avLst/>
                    </a:prstGeom>
                    <a:noFill/>
                  </pic:spPr>
                </pic:pic>
              </a:graphicData>
            </a:graphic>
          </wp:anchor>
        </w:drawing>
      </w:r>
    </w:p>
    <w:p>
      <w:pPr>
        <w:spacing w:after="0" w:line="318"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20"/>
          <w:szCs w:val="20"/>
          <w:b w:val="1"/>
          <w:bCs w:val="1"/>
          <w:color w:val="auto"/>
        </w:rPr>
        <w:t>Graco Inc. Enters into Definitive Agreement to Acquire Valco Melton, a Global Leader in Precision Adhesive Applications and Quality Assurance Systems</w:t>
      </w:r>
    </w:p>
    <w:p>
      <w:pPr>
        <w:spacing w:after="0" w:line="1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MINNEAPOLIS – May 21, 2026 – </w:t>
      </w:r>
      <w:r>
        <w:rPr>
          <w:rFonts w:ascii="Times New Roman" w:cs="Times New Roman" w:eastAsia="Times New Roman" w:hAnsi="Times New Roman"/>
          <w:sz w:val="20"/>
          <w:szCs w:val="20"/>
          <w:color w:val="auto"/>
        </w:rPr>
        <w:t>Graco Inc. (NYSE: GGG), a global leader in fluid and powder handling technologies, today announced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 has entered into a definitive agreement to acquire Valco Melton, a global provider of adhesive application and quality assurance systems, for $447 million in cash, including the present value of approximately $40 million in expected tax benefits, subject to customary adjustments. This represents approximately 14x Valco Melton’s full year 2025 EBITDA. The transaction is expected to close in Graco’s fiscal third quarter following the satisfaction of closing conditions.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Valco Melton designs, manufactures, and supports industrial systems that precisely apply adhesives and verify quality during production. Its solutions are used primarily in packaging and other industrial manufacturing applications where quality, reliability, and consistent performance are critical.</w:t>
      </w:r>
    </w:p>
    <w:p>
      <w:pPr>
        <w:spacing w:after="0" w:line="201" w:lineRule="exact"/>
        <w:rPr>
          <w:sz w:val="20"/>
          <w:szCs w:val="20"/>
          <w:color w:val="auto"/>
        </w:rPr>
      </w:pPr>
    </w:p>
    <w:p>
      <w:pPr>
        <w:jc w:val="both"/>
        <w:spacing w:after="0" w:line="237" w:lineRule="exact"/>
        <w:rPr>
          <w:sz w:val="20"/>
          <w:szCs w:val="20"/>
          <w:color w:val="auto"/>
        </w:rPr>
      </w:pPr>
      <w:r>
        <w:rPr>
          <w:rFonts w:ascii="Times New Roman" w:cs="Times New Roman" w:eastAsia="Times New Roman" w:hAnsi="Times New Roman"/>
          <w:sz w:val="20"/>
          <w:szCs w:val="20"/>
          <w:color w:val="auto"/>
        </w:rPr>
        <w:t>“This acquisition is a strong strategic fit for Graco and a natural extension of our industrial portfolio,” said Mark Sheahan, President and CEO of Graco. “Valco Melton expands our capabilities in precision sealant and adhesive dispensing, which closely aligns with Graco’s core expertise in fluid handling, while adding complementary vision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based quality assurance systems. These additions to our portfolio strengthen our ability to help manufacturers improve productivity, quality, and uptime across demanding production environments.”</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Valco Melton has approximately 650 employees, serves customers in more than 80 countries, and generated approximately $145 million in revenue in 2025.</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“Valco Melton’s global footprint, strong customer relationships, and history of innovation align closely with Graco’s operating model, and we look forward to partnering with their team to drive continued global organic growth,” said Sheahan.</w:t>
      </w:r>
    </w:p>
    <w:p>
      <w:pPr>
        <w:spacing w:after="0" w:line="18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The transaction supports Graco’s long-term strategy by expanding its presence in a growing market segment, enhancing its global reach, and adding capabilities that drive both original equipment and aftermarket demand. Valco Melton will become part of Graco’s Industrial division.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Graco</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Graco Inc. supplies technology and expertise for the management of fluids and coatings in both industrial and commercial applications. It designs, manufactures and markets systems and equipment to move, measure, control, dispense and spray fluid and powder materials. A recognized leader in its specialties, Minneapolis-based Graco serves customers around the world in the manufacturing, processing, construction and maintenance industries. For additional information about Graco Inc., please visit us at </w:t>
      </w:r>
      <w:r>
        <w:rPr>
          <w:rFonts w:ascii="Times New Roman" w:cs="Times New Roman" w:eastAsia="Times New Roman" w:hAnsi="Times New Roman"/>
          <w:sz w:val="20"/>
          <w:szCs w:val="20"/>
          <w:u w:val="single" w:color="auto"/>
          <w:color w:val="3051F2"/>
        </w:rPr>
        <w:t>www.graco.com</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2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desires to take advantage of the “safe harbor” provisions regarding forward-looking statements of the Private Securities Litigation Reform Act of 1995 and is filing this Cautionary Statement in order to do so. The</w:t>
      </w:r>
    </w:p>
    <w:p>
      <w:pPr>
        <w:sectPr>
          <w:pgSz w:w="11900" w:h="16838" w:orient="portrait"/>
          <w:cols w:equalWidth="0" w:num="1">
            <w:col w:w="11240"/>
          </w:cols>
          <w:pgMar w:left="320" w:top="971"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20"/>
          <w:szCs w:val="20"/>
          <w:color w:val="auto"/>
        </w:rPr>
        <w:t>Company’s statements about the expected impacts of the closing of the acquisition, including with respect to existing presence, benefits to customers, growth and expansion are forward-looking statements. The expected impacts of the closing of the acquisition could differ due to any event, change or other circumstance that prevents the parties from achieving these results in a timely fashion or at all.</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2026-05-21T07:46:21Z</dcterms:created>
  <dcterms:modified xsi:type="dcterms:W3CDTF">2026-05-21T07:46:21Z</dcterms:modified>
</cp:coreProperties>
</file>