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GILLIGAN J KEVIN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620.94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99,367.0749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620.94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75.61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shares were accrued under the Graco Inc. Amended and Restated 2019 Stock Incentive Plan and are to be settled 100% in Graco common stock in a lump sum or installments upon reporting person's termination of service on the Board.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Graco Inc. deferred stock received in lieu of quarterly retainer fees.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shares includes deferred stock shares acquired under the Graco Inc. Automatic Dividend Reinvestment Plan (DRIP), exempt under Rule 16a-11.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Joesph J. Humke,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Gilligan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50572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2026-07-01T10:32:43Z</dcterms:created>
  <dcterms:modified xsi:type="dcterms:W3CDTF">2026-07-01T10:32:43Z</dcterms:modified>
</cp:coreProperties>
</file>