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 xml:space="preserve">Quarterly Report Pursuant to Section 13 or 15(d) of the Securities Exchange Act of 1934 </w:t>
      </w:r>
    </w:p>
    <w:p>
      <w:pPr>
        <w:pStyle w:val="TextBody"/>
        <w:bidi w:val="0"/>
        <w:spacing w:lineRule="auto" w:line="288" w:before="0" w:after="0"/>
        <w:jc w:val="left"/>
        <w:rPr/>
      </w:pPr>
      <w:r>
        <w:rPr>
          <w:rFonts w:ascii="Arial;sans-serif" w:hAnsi="Arial;sans-serif"/>
          <w:b w:val="false"/>
          <w:color w:val="000000"/>
          <w:sz w:val="20"/>
        </w:rPr>
        <w:t xml:space="preserve">For the quarterly period ended </w:t>
      </w:r>
      <w:r>
        <w:rPr>
          <w:rFonts w:ascii="Arial;sans-serif" w:hAnsi="Arial;sans-serif"/>
          <w:b/>
          <w:color w:val="000000"/>
          <w:sz w:val="20"/>
        </w:rPr>
        <w:t>June 26, 2026</w:t>
      </w:r>
    </w:p>
    <w:p>
      <w:pPr>
        <w:pStyle w:val="TextBody"/>
        <w:bidi w:val="0"/>
        <w:spacing w:lineRule="auto" w:line="288" w:before="0" w:after="0"/>
        <w:jc w:val="left"/>
        <w:rPr>
          <w:rFonts w:ascii="Arial;sans-serif" w:hAnsi="Arial;sans-serif"/>
          <w:b/>
          <w:color w:val="000000"/>
          <w:sz w:val="12"/>
        </w:rPr>
      </w:pPr>
      <w:r>
        <w:rPr>
          <w:rFonts w:ascii="Arial;sans-serif" w:hAnsi="Arial;sans-serif"/>
          <w:b/>
          <w:color w:val="000000"/>
          <w:sz w:val="12"/>
        </w:rPr>
        <w:t xml:space="preserve">OR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20"/>
        </w:rPr>
        <w:t>Transition Report Pursuant to Section 13 or 15(d) of the Securities Exchange Act of 1934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transition period from 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Commission File Number:  </w:t>
      </w:r>
      <w:r>
        <w:rPr>
          <w:rFonts w:ascii="Arial;sans-serif" w:hAnsi="Arial;sans-serif"/>
          <w:b w:val="false"/>
          <w:color w:val="000000"/>
          <w:sz w:val="20"/>
          <w:u w:val="single"/>
        </w:rPr>
        <w:t>001-09249</w:t>
      </w:r>
      <w:r>
        <w:rPr>
          <w:color w:val="000000"/>
        </w:rPr>
        <w:t xml:space="preserve"> </w:t>
      </w:r>
    </w:p>
    <w:tbl>
      <w:tblPr>
        <w:tblW w:w="4980" w:type="dxa"/>
        <w:jc w:val="center"/>
        <w:tblInd w:w="0" w:type="dxa"/>
        <w:tblLayout w:type="fixed"/>
        <w:tblCellMar>
          <w:top w:w="28" w:type="dxa"/>
          <w:left w:w="28" w:type="dxa"/>
          <w:bottom w:w="28" w:type="dxa"/>
          <w:right w:w="28" w:type="dxa"/>
        </w:tblCellMar>
      </w:tblPr>
      <w:tblGrid>
        <w:gridCol w:w="1593"/>
        <w:gridCol w:w="1400"/>
        <w:gridCol w:w="1987"/>
      </w:tblGrid>
      <w:tr>
        <w:trPr/>
        <w:tc>
          <w:tcPr>
            <w:tcW w:w="15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GRACO INC.</w:t>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     </w:t>
            </w:r>
          </w:p>
        </w:tc>
      </w:tr>
    </w:tbl>
    <w:p>
      <w:pPr>
        <w:pStyle w:val="TextBody"/>
        <w:bidi w:val="0"/>
        <w:spacing w:lineRule="auto" w:line="288" w:before="0" w:after="0"/>
        <w:jc w:val="center"/>
        <w:rPr>
          <w:color w:val="000000"/>
        </w:rPr>
      </w:pPr>
      <w:r>
        <w:rPr>
          <w:color w:val="000000"/>
        </w:rPr>
        <w:t> </w:t>
      </w:r>
    </w:p>
    <w:tbl>
      <w:tblPr>
        <w:tblW w:w="9462" w:type="dxa"/>
        <w:jc w:val="center"/>
        <w:tblInd w:w="0" w:type="dxa"/>
        <w:tblLayout w:type="fixed"/>
        <w:tblCellMar>
          <w:top w:w="28" w:type="dxa"/>
          <w:left w:w="28" w:type="dxa"/>
          <w:bottom w:w="28" w:type="dxa"/>
          <w:right w:w="28" w:type="dxa"/>
        </w:tblCellMar>
      </w:tblPr>
      <w:tblGrid>
        <w:gridCol w:w="1906"/>
        <w:gridCol w:w="1674"/>
        <w:gridCol w:w="1685"/>
        <w:gridCol w:w="109"/>
        <w:gridCol w:w="109"/>
        <w:gridCol w:w="109"/>
        <w:gridCol w:w="1131"/>
        <w:gridCol w:w="1131"/>
        <w:gridCol w:w="1608"/>
      </w:tblGrid>
      <w:tr>
        <w:trPr/>
        <w:tc>
          <w:tcPr>
            <w:tcW w:w="190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41-0285640</w:t>
            </w:r>
          </w:p>
        </w:tc>
      </w:tr>
      <w:tr>
        <w:trPr/>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Number)     </w:t>
            </w:r>
          </w:p>
        </w:tc>
      </w:tr>
    </w:tbl>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724"/>
        <w:gridCol w:w="638"/>
        <w:gridCol w:w="641"/>
        <w:gridCol w:w="579"/>
        <w:gridCol w:w="579"/>
        <w:gridCol w:w="588"/>
        <w:gridCol w:w="109"/>
        <w:gridCol w:w="109"/>
        <w:gridCol w:w="109"/>
        <w:gridCol w:w="395"/>
        <w:gridCol w:w="395"/>
        <w:gridCol w:w="560"/>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88 - 11th Avenue 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Minneapolis,</w:t>
            </w:r>
          </w:p>
        </w:tc>
        <w:tc>
          <w:tcPr>
            <w:tcW w:w="1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55413</w:t>
            </w:r>
          </w:p>
        </w:tc>
      </w:tr>
      <w:tr>
        <w:trPr/>
        <w:tc>
          <w:tcPr>
            <w:tcW w:w="37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     </w:t>
            </w:r>
          </w:p>
        </w:tc>
      </w:tr>
    </w:tbl>
    <w:tbl>
      <w:tblPr>
        <w:tblW w:w="4724" w:type="dxa"/>
        <w:jc w:val="center"/>
        <w:tblInd w:w="0" w:type="dxa"/>
        <w:tblLayout w:type="fixed"/>
        <w:tblCellMar>
          <w:top w:w="28" w:type="dxa"/>
          <w:left w:w="28" w:type="dxa"/>
          <w:bottom w:w="28" w:type="dxa"/>
          <w:right w:w="28" w:type="dxa"/>
        </w:tblCellMar>
      </w:tblPr>
      <w:tblGrid>
        <w:gridCol w:w="630"/>
        <w:gridCol w:w="558"/>
        <w:gridCol w:w="561"/>
        <w:gridCol w:w="870"/>
        <w:gridCol w:w="870"/>
        <w:gridCol w:w="1235"/>
      </w:tblGrid>
      <w:tr>
        <w:trPr/>
        <w:tc>
          <w:tcPr>
            <w:tcW w:w="6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2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623-6000</w:t>
            </w:r>
          </w:p>
        </w:tc>
      </w:tr>
      <w:tr>
        <w:trPr/>
        <w:tc>
          <w:tcPr>
            <w:tcW w:w="47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92" w:type="dxa"/>
        <w:jc w:val="center"/>
        <w:tblInd w:w="0" w:type="dxa"/>
        <w:tblLayout w:type="fixed"/>
        <w:tblCellMar>
          <w:top w:w="28" w:type="dxa"/>
          <w:left w:w="28" w:type="dxa"/>
          <w:bottom w:w="28" w:type="dxa"/>
          <w:right w:w="28" w:type="dxa"/>
        </w:tblCellMar>
      </w:tblPr>
      <w:tblGrid>
        <w:gridCol w:w="1373"/>
        <w:gridCol w:w="1204"/>
        <w:gridCol w:w="1217"/>
        <w:gridCol w:w="564"/>
        <w:gridCol w:w="564"/>
        <w:gridCol w:w="566"/>
        <w:gridCol w:w="1170"/>
        <w:gridCol w:w="1170"/>
        <w:gridCol w:w="1664"/>
      </w:tblGrid>
      <w:tr>
        <w:trPr/>
        <w:tc>
          <w:tcPr>
            <w:tcW w:w="1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$1.00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GGG</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2492" w:type="dxa"/>
        <w:jc w:val="center"/>
        <w:tblInd w:w="0" w:type="dxa"/>
        <w:tblLayout w:type="fixed"/>
        <w:tblCellMar>
          <w:top w:w="28" w:type="dxa"/>
          <w:left w:w="28" w:type="dxa"/>
          <w:bottom w:w="28" w:type="dxa"/>
          <w:right w:w="28" w:type="dxa"/>
        </w:tblCellMar>
      </w:tblPr>
      <w:tblGrid>
        <w:gridCol w:w="124"/>
        <w:gridCol w:w="109"/>
        <w:gridCol w:w="109"/>
        <w:gridCol w:w="150"/>
        <w:gridCol w:w="150"/>
        <w:gridCol w:w="151"/>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2492" w:type="dxa"/>
        <w:jc w:val="center"/>
        <w:tblInd w:w="0" w:type="dxa"/>
        <w:tblLayout w:type="fixed"/>
        <w:tblCellMar>
          <w:top w:w="28" w:type="dxa"/>
          <w:left w:w="28" w:type="dxa"/>
          <w:bottom w:w="28" w:type="dxa"/>
          <w:right w:w="28" w:type="dxa"/>
        </w:tblCellMar>
      </w:tblPr>
      <w:tblGrid>
        <w:gridCol w:w="124"/>
        <w:gridCol w:w="109"/>
        <w:gridCol w:w="109"/>
        <w:gridCol w:w="150"/>
        <w:gridCol w:w="150"/>
        <w:gridCol w:w="151"/>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616" w:type="dxa"/>
        <w:jc w:val="center"/>
        <w:tblInd w:w="0" w:type="dxa"/>
        <w:tblLayout w:type="fixed"/>
        <w:tblCellMar>
          <w:top w:w="28" w:type="dxa"/>
          <w:left w:w="28" w:type="dxa"/>
          <w:bottom w:w="28" w:type="dxa"/>
          <w:right w:w="28" w:type="dxa"/>
        </w:tblCellMar>
      </w:tblPr>
      <w:tblGrid>
        <w:gridCol w:w="881"/>
        <w:gridCol w:w="772"/>
        <w:gridCol w:w="777"/>
        <w:gridCol w:w="109"/>
        <w:gridCol w:w="109"/>
        <w:gridCol w:w="109"/>
        <w:gridCol w:w="504"/>
        <w:gridCol w:w="504"/>
        <w:gridCol w:w="506"/>
        <w:gridCol w:w="109"/>
        <w:gridCol w:w="109"/>
        <w:gridCol w:w="109"/>
        <w:gridCol w:w="629"/>
        <w:gridCol w:w="629"/>
        <w:gridCol w:w="631"/>
        <w:gridCol w:w="109"/>
        <w:gridCol w:w="109"/>
        <w:gridCol w:w="109"/>
        <w:gridCol w:w="809"/>
        <w:gridCol w:w="809"/>
        <w:gridCol w:w="812"/>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tbl>
      <w:tblPr>
        <w:tblW w:w="2492" w:type="dxa"/>
        <w:jc w:val="center"/>
        <w:tblInd w:w="0" w:type="dxa"/>
        <w:tblLayout w:type="fixed"/>
        <w:tblCellMar>
          <w:top w:w="28" w:type="dxa"/>
          <w:left w:w="28" w:type="dxa"/>
          <w:bottom w:w="28" w:type="dxa"/>
          <w:right w:w="28" w:type="dxa"/>
        </w:tblCellMar>
      </w:tblPr>
      <w:tblGrid>
        <w:gridCol w:w="124"/>
        <w:gridCol w:w="109"/>
        <w:gridCol w:w="109"/>
        <w:gridCol w:w="150"/>
        <w:gridCol w:w="150"/>
        <w:gridCol w:w="151"/>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161,953,824 shares of the Registrant’s Common Stock, $1.00 par value, were outstanding as of July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pPr>
      <w:r>
        <w:rPr>
          <w:rFonts w:ascii="Arial;sans-serif" w:hAnsi="Arial;sans-serif"/>
          <w:b/>
          <w:color w:val="000000"/>
          <w:sz w:val="24"/>
        </w:rPr>
        <w:t>TABLE OF CONTENTS</w:t>
      </w:r>
      <w:r>
        <w:rPr>
          <w:color w:val="000000"/>
        </w:rPr>
        <w:t> </w:t>
      </w:r>
    </w:p>
    <w:tbl>
      <w:tblPr>
        <w:tblW w:w="10205" w:type="dxa"/>
        <w:jc w:val="left"/>
        <w:tblInd w:w="0" w:type="dxa"/>
        <w:tblLayout w:type="fixed"/>
        <w:tblCellMar>
          <w:top w:w="28" w:type="dxa"/>
          <w:left w:w="28" w:type="dxa"/>
          <w:bottom w:w="28" w:type="dxa"/>
          <w:right w:w="28" w:type="dxa"/>
        </w:tblCellMar>
      </w:tblPr>
      <w:tblGrid>
        <w:gridCol w:w="351"/>
        <w:gridCol w:w="308"/>
        <w:gridCol w:w="308"/>
        <w:gridCol w:w="343"/>
        <w:gridCol w:w="343"/>
        <w:gridCol w:w="312"/>
        <w:gridCol w:w="308"/>
        <w:gridCol w:w="308"/>
        <w:gridCol w:w="308"/>
        <w:gridCol w:w="2240"/>
        <w:gridCol w:w="2179"/>
        <w:gridCol w:w="2291"/>
        <w:gridCol w:w="176"/>
        <w:gridCol w:w="176"/>
        <w:gridCol w:w="254"/>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59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PART I - FINANCIAL INFORMATION</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1.</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0">
              <w:r>
                <w:rPr>
                  <w:rStyle w:val="InternetLink"/>
                  <w:rFonts w:ascii="Arial;sans-serif" w:hAnsi="Arial;sans-serif"/>
                  <w:b w:val="false"/>
                  <w:color w:val="0000FF"/>
                  <w:sz w:val="20"/>
                  <w:u w:val="single"/>
                </w:rPr>
                <w:t>Financial Statements</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3">
              <w:r>
                <w:rPr>
                  <w:rStyle w:val="InternetLink"/>
                  <w:rFonts w:ascii="Arial;sans-serif" w:hAnsi="Arial;sans-serif"/>
                  <w:b w:val="false"/>
                  <w:color w:val="0000FF"/>
                  <w:sz w:val="20"/>
                  <w:u w:val="single"/>
                </w:rPr>
                <w:t>Consolidated Statements of Earnings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3">
              <w:r>
                <w:rPr>
                  <w:rStyle w:val="InternetLink"/>
                  <w:rFonts w:ascii="Arial;sans-serif" w:hAnsi="Arial;sans-serif"/>
                  <w:b w:val="false"/>
                  <w:strike w:val="false"/>
                  <w:dstrike w:val="false"/>
                  <w:color w:val="0000FF"/>
                  <w:sz w:val="20"/>
                  <w:u w:val="none"/>
                  <w:effect w:val="none"/>
                </w:rPr>
                <w:t>3</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3">
              <w:r>
                <w:rPr>
                  <w:rStyle w:val="InternetLink"/>
                  <w:rFonts w:ascii="Arial;sans-serif" w:hAnsi="Arial;sans-serif"/>
                  <w:b w:val="false"/>
                  <w:color w:val="0000FF"/>
                  <w:sz w:val="20"/>
                  <w:u w:val="single"/>
                </w:rPr>
                <w:t>Consolidated Statements of Comprehensive Income</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3">
              <w:r>
                <w:rPr>
                  <w:rStyle w:val="InternetLink"/>
                  <w:rFonts w:ascii="Arial;sans-serif" w:hAnsi="Arial;sans-serif"/>
                  <w:b w:val="false"/>
                  <w:strike w:val="false"/>
                  <w:dstrike w:val="false"/>
                  <w:color w:val="0000FF"/>
                  <w:sz w:val="20"/>
                  <w:u w:val="none"/>
                  <w:effect w:val="none"/>
                </w:rPr>
                <w:t>3</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6">
              <w:r>
                <w:rPr>
                  <w:rStyle w:val="InternetLink"/>
                  <w:rFonts w:ascii="Arial;sans-serif" w:hAnsi="Arial;sans-serif"/>
                  <w:b w:val="false"/>
                  <w:color w:val="0000FF"/>
                  <w:sz w:val="20"/>
                  <w:u w:val="single"/>
                </w:rPr>
                <w:t>Consolidated Balance Sheets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6">
              <w:r>
                <w:rPr>
                  <w:rStyle w:val="InternetLink"/>
                  <w:rFonts w:ascii="Arial;sans-serif" w:hAnsi="Arial;sans-serif"/>
                  <w:b w:val="false"/>
                  <w:strike w:val="false"/>
                  <w:dstrike w:val="false"/>
                  <w:color w:val="0000FF"/>
                  <w:sz w:val="20"/>
                  <w:u w:val="none"/>
                  <w:effect w:val="none"/>
                </w:rPr>
                <w:t>4</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9">
              <w:r>
                <w:rPr>
                  <w:rStyle w:val="InternetLink"/>
                  <w:rFonts w:ascii="Arial;sans-serif" w:hAnsi="Arial;sans-serif"/>
                  <w:b w:val="false"/>
                  <w:color w:val="0000FF"/>
                  <w:sz w:val="20"/>
                  <w:u w:val="single"/>
                </w:rPr>
                <w:t>Consolidated Statements of Cash Flows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9">
              <w:r>
                <w:rPr>
                  <w:rStyle w:val="InternetLink"/>
                  <w:rFonts w:ascii="Arial;sans-serif" w:hAnsi="Arial;sans-serif"/>
                  <w:b w:val="false"/>
                  <w:strike w:val="false"/>
                  <w:dstrike w:val="false"/>
                  <w:color w:val="0000FF"/>
                  <w:sz w:val="20"/>
                  <w:u w:val="none"/>
                  <w:effect w:val="none"/>
                </w:rPr>
                <w:t>5</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22">
              <w:r>
                <w:rPr>
                  <w:rStyle w:val="InternetLink"/>
                  <w:rFonts w:ascii="Arial;sans-serif" w:hAnsi="Arial;sans-serif"/>
                  <w:b w:val="false"/>
                  <w:color w:val="0000FF"/>
                  <w:sz w:val="20"/>
                  <w:u w:val="single"/>
                </w:rPr>
                <w:t>Consolidated Statements of Shareholders' Equity</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22">
              <w:r>
                <w:rPr>
                  <w:rStyle w:val="InternetLink"/>
                  <w:rFonts w:ascii="Arial;sans-serif" w:hAnsi="Arial;sans-serif"/>
                  <w:b w:val="false"/>
                  <w:strike w:val="false"/>
                  <w:dstrike w:val="false"/>
                  <w:color w:val="0000FF"/>
                  <w:sz w:val="20"/>
                  <w:u w:val="none"/>
                  <w:effect w:val="none"/>
                </w:rPr>
                <w:t>6</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25">
              <w:r>
                <w:rPr>
                  <w:rStyle w:val="InternetLink"/>
                  <w:rFonts w:ascii="Arial;sans-serif" w:hAnsi="Arial;sans-serif"/>
                  <w:b w:val="false"/>
                  <w:color w:val="0000FF"/>
                  <w:sz w:val="20"/>
                  <w:u w:val="single"/>
                </w:rPr>
                <w:t>Notes to Consolidated Financial Statements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25">
              <w:r>
                <w:rPr>
                  <w:rStyle w:val="InternetLink"/>
                  <w:rFonts w:ascii="Arial;sans-serif" w:hAnsi="Arial;sans-serif"/>
                  <w:b w:val="false"/>
                  <w:strike w:val="false"/>
                  <w:dstrike w:val="false"/>
                  <w:color w:val="0000FF"/>
                  <w:sz w:val="20"/>
                  <w:u w:val="none"/>
                  <w:effect w:val="none"/>
                </w:rPr>
                <w:t>7</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2.</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79">
              <w:r>
                <w:rPr>
                  <w:rStyle w:val="InternetLink"/>
                  <w:rFonts w:ascii="Arial;sans-serif" w:hAnsi="Arial;sans-serif"/>
                  <w:b w:val="false"/>
                  <w:color w:val="0000FF"/>
                  <w:sz w:val="20"/>
                  <w:u w:val="single"/>
                </w:rPr>
                <w:t>Management’s Discussion and Analysis of Financial Condition and Results of Operations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79">
              <w:r>
                <w:rPr>
                  <w:rStyle w:val="InternetLink"/>
                  <w:rFonts w:ascii="Arial;sans-serif" w:hAnsi="Arial;sans-serif"/>
                  <w:b w:val="false"/>
                  <w:strike w:val="false"/>
                  <w:dstrike w:val="false"/>
                  <w:color w:val="0000FF"/>
                  <w:sz w:val="20"/>
                  <w:u w:val="none"/>
                  <w:effect w:val="none"/>
                </w:rPr>
                <w:t>14</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3.</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60">
              <w:r>
                <w:rPr>
                  <w:rStyle w:val="InternetLink"/>
                  <w:rFonts w:ascii="Arial;sans-serif" w:hAnsi="Arial;sans-serif"/>
                  <w:b w:val="false"/>
                  <w:color w:val="0000FF"/>
                  <w:sz w:val="20"/>
                  <w:u w:val="single"/>
                </w:rPr>
                <w:t>Quantitative and Qualitative Disclosures About Market Risk</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60">
              <w:r>
                <w:rPr>
                  <w:rStyle w:val="InternetLink"/>
                  <w:rFonts w:ascii="Arial;sans-serif" w:hAnsi="Arial;sans-serif"/>
                  <w:b w:val="false"/>
                  <w:strike w:val="false"/>
                  <w:dstrike w:val="false"/>
                  <w:color w:val="0000FF"/>
                  <w:sz w:val="20"/>
                  <w:u w:val="none"/>
                  <w:effect w:val="none"/>
                </w:rPr>
                <w:t>21</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4.</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63">
              <w:r>
                <w:rPr>
                  <w:rStyle w:val="InternetLink"/>
                  <w:rFonts w:ascii="Arial;sans-serif" w:hAnsi="Arial;sans-serif"/>
                  <w:b w:val="false"/>
                  <w:color w:val="0000FF"/>
                  <w:sz w:val="20"/>
                  <w:u w:val="single"/>
                </w:rPr>
                <w:t>Controls and Procedures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63">
              <w:r>
                <w:rPr>
                  <w:rStyle w:val="InternetLink"/>
                  <w:rFonts w:ascii="Arial;sans-serif" w:hAnsi="Arial;sans-serif"/>
                  <w:b w:val="false"/>
                  <w:strike w:val="false"/>
                  <w:dstrike w:val="false"/>
                  <w:color w:val="0000FF"/>
                  <w:sz w:val="20"/>
                  <w:u w:val="none"/>
                  <w:effect w:val="none"/>
                </w:rPr>
                <w:t>21</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PART II - OTHER INFORMATION</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1A.</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69">
              <w:r>
                <w:rPr>
                  <w:rStyle w:val="InternetLink"/>
                  <w:rFonts w:ascii="Arial;sans-serif" w:hAnsi="Arial;sans-serif"/>
                  <w:b w:val="false"/>
                  <w:color w:val="0000FF"/>
                  <w:sz w:val="20"/>
                  <w:u w:val="single"/>
                </w:rPr>
                <w:t>Risk Factors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69">
              <w:r>
                <w:rPr>
                  <w:rStyle w:val="InternetLink"/>
                  <w:rFonts w:ascii="Arial;sans-serif" w:hAnsi="Arial;sans-serif"/>
                  <w:b w:val="false"/>
                  <w:strike w:val="false"/>
                  <w:dstrike w:val="false"/>
                  <w:color w:val="0000FF"/>
                  <w:sz w:val="20"/>
                  <w:u w:val="none"/>
                  <w:effect w:val="none"/>
                </w:rPr>
                <w:t>22</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2.</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72">
              <w:r>
                <w:rPr>
                  <w:rStyle w:val="InternetLink"/>
                  <w:rFonts w:ascii="Arial;sans-serif" w:hAnsi="Arial;sans-serif"/>
                  <w:b w:val="false"/>
                  <w:color w:val="0000FF"/>
                  <w:sz w:val="20"/>
                  <w:u w:val="single"/>
                </w:rPr>
                <w:t>Unregistered Sales of Equity Securities and Use of Proceeds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72">
              <w:r>
                <w:rPr>
                  <w:rStyle w:val="InternetLink"/>
                  <w:rFonts w:ascii="Arial;sans-serif" w:hAnsi="Arial;sans-serif"/>
                  <w:b w:val="false"/>
                  <w:strike w:val="false"/>
                  <w:dstrike w:val="false"/>
                  <w:color w:val="0000FF"/>
                  <w:sz w:val="20"/>
                  <w:u w:val="none"/>
                  <w:effect w:val="none"/>
                </w:rPr>
                <w:t>23</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5.</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75">
              <w:r>
                <w:rPr>
                  <w:rStyle w:val="InternetLink"/>
                  <w:rFonts w:ascii="Arial;sans-serif" w:hAnsi="Arial;sans-serif"/>
                  <w:b w:val="false"/>
                  <w:color w:val="0000FF"/>
                  <w:sz w:val="20"/>
                  <w:u w:val="single"/>
                </w:rPr>
                <w:t>Other Information</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75">
              <w:r>
                <w:rPr>
                  <w:rStyle w:val="InternetLink"/>
                  <w:rFonts w:ascii="Arial;sans-serif" w:hAnsi="Arial;sans-serif"/>
                  <w:b w:val="false"/>
                  <w:strike w:val="false"/>
                  <w:dstrike w:val="false"/>
                  <w:color w:val="0000FF"/>
                  <w:sz w:val="20"/>
                  <w:u w:val="none"/>
                  <w:effect w:val="none"/>
                </w:rPr>
                <w:t>24</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Item 6.</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78">
              <w:r>
                <w:rPr>
                  <w:rStyle w:val="InternetLink"/>
                  <w:rFonts w:ascii="Arial;sans-serif" w:hAnsi="Arial;sans-serif"/>
                  <w:b w:val="false"/>
                  <w:color w:val="0000FF"/>
                  <w:sz w:val="20"/>
                  <w:u w:val="single"/>
                </w:rPr>
                <w:t>Exhibits</w:t>
              </w:r>
            </w:hyperlink>
          </w:p>
        </w:tc>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0605e929c04639968d3085479523c8_178">
              <w:r>
                <w:rPr>
                  <w:rStyle w:val="InternetLink"/>
                  <w:rFonts w:ascii="Arial;sans-serif" w:hAnsi="Arial;sans-serif"/>
                  <w:b w:val="false"/>
                  <w:strike w:val="false"/>
                  <w:dstrike w:val="false"/>
                  <w:color w:val="0000FF"/>
                  <w:sz w:val="20"/>
                  <w:u w:val="none"/>
                  <w:effect w:val="none"/>
                </w:rPr>
                <w:t>25</w:t>
              </w:r>
            </w:hyperlink>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fd0605e929c04639968d3085479523c8_184">
              <w:r>
                <w:rPr>
                  <w:rStyle w:val="InternetLink"/>
                  <w:rFonts w:ascii="Arial;sans-serif" w:hAnsi="Arial;sans-serif"/>
                  <w:b/>
                  <w:color w:val="0000FF"/>
                  <w:sz w:val="20"/>
                  <w:u w:val="single"/>
                </w:rPr>
                <w:t>SIGNATURES</w:t>
              </w:r>
            </w:hyperlink>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EARNINGS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 except per share amounts)</w:t>
      </w:r>
    </w:p>
    <w:tbl>
      <w:tblPr>
        <w:tblW w:w="9120" w:type="dxa"/>
        <w:jc w:val="center"/>
        <w:tblInd w:w="0" w:type="dxa"/>
        <w:tblLayout w:type="fixed"/>
        <w:tblCellMar>
          <w:top w:w="28" w:type="dxa"/>
          <w:left w:w="28" w:type="dxa"/>
          <w:bottom w:w="28" w:type="dxa"/>
          <w:right w:w="28" w:type="dxa"/>
        </w:tblCellMar>
      </w:tblPr>
      <w:tblGrid>
        <w:gridCol w:w="1109"/>
        <w:gridCol w:w="972"/>
        <w:gridCol w:w="979"/>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marketing and distribution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309,682 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Earnings per Common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Diluted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CONSOLIDATED STATEMENTS OF COMPREHENSIVE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621"/>
        <w:gridCol w:w="1421"/>
        <w:gridCol w:w="143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Components of other comprehensive (loss)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Pension and postretirement medical </w:t>
              <w:br/>
              <w:t>liability adjustment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 pension and postretirement</w:t>
              <w:br/>
              <w:t>medical liability adjustment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8333" w:type="dxa"/>
        <w:jc w:val="center"/>
        <w:tblInd w:w="0" w:type="dxa"/>
        <w:tblLayout w:type="fixed"/>
        <w:tblCellMar>
          <w:top w:w="28" w:type="dxa"/>
          <w:left w:w="28" w:type="dxa"/>
          <w:bottom w:w="28" w:type="dxa"/>
          <w:right w:w="28" w:type="dxa"/>
        </w:tblCellMar>
      </w:tblPr>
      <w:tblGrid>
        <w:gridCol w:w="1911"/>
        <w:gridCol w:w="1679"/>
        <w:gridCol w:w="1689"/>
        <w:gridCol w:w="211"/>
        <w:gridCol w:w="1021"/>
        <w:gridCol w:w="109"/>
        <w:gridCol w:w="109"/>
        <w:gridCol w:w="109"/>
        <w:gridCol w:w="109"/>
        <w:gridCol w:w="211"/>
        <w:gridCol w:w="1021"/>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less allowances of $7,300 and $6,000</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to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incentives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Benefits and Deferred Compensation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tbl>
      <w:tblPr>
        <w:tblW w:w="8003" w:type="dxa"/>
        <w:jc w:val="center"/>
        <w:tblInd w:w="0" w:type="dxa"/>
        <w:tblLayout w:type="fixed"/>
        <w:tblCellMar>
          <w:top w:w="28" w:type="dxa"/>
          <w:left w:w="28" w:type="dxa"/>
          <w:bottom w:w="28" w:type="dxa"/>
          <w:right w:w="28" w:type="dxa"/>
        </w:tblCellMar>
      </w:tblPr>
      <w:tblGrid>
        <w:gridCol w:w="1911"/>
        <w:gridCol w:w="1682"/>
        <w:gridCol w:w="1686"/>
        <w:gridCol w:w="211"/>
        <w:gridCol w:w="856"/>
        <w:gridCol w:w="109"/>
        <w:gridCol w:w="109"/>
        <w:gridCol w:w="109"/>
        <w:gridCol w:w="109"/>
        <w:gridCol w:w="211"/>
        <w:gridCol w:w="856"/>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w:t>
              <w:br/>
              <w:t>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building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incentives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benefits and deferred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additions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building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businesses,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(payments) on short-term lines of credit,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lines of credit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paid related to net share settlement of equity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(428,592)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SHAREHOLDERS’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thousands)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912"/>
        <w:gridCol w:w="425"/>
        <w:gridCol w:w="427"/>
        <w:gridCol w:w="211"/>
        <w:gridCol w:w="826"/>
        <w:gridCol w:w="109"/>
        <w:gridCol w:w="109"/>
        <w:gridCol w:w="109"/>
        <w:gridCol w:w="109"/>
        <w:gridCol w:w="211"/>
        <w:gridCol w:w="976"/>
        <w:gridCol w:w="109"/>
        <w:gridCol w:w="109"/>
        <w:gridCol w:w="109"/>
        <w:gridCol w:w="109"/>
        <w:gridCol w:w="222"/>
        <w:gridCol w:w="1028"/>
        <w:gridCol w:w="114"/>
        <w:gridCol w:w="109"/>
        <w:gridCol w:w="109"/>
        <w:gridCol w:w="109"/>
        <w:gridCol w:w="394"/>
        <w:gridCol w:w="1381"/>
        <w:gridCol w:w="206"/>
        <w:gridCol w:w="109"/>
        <w:gridCol w:w="109"/>
        <w:gridCol w:w="109"/>
        <w:gridCol w:w="211"/>
        <w:gridCol w:w="976"/>
        <w:gridCol w:w="159"/>
      </w:tblGrid>
      <w:tr>
        <w:trPr/>
        <w:tc>
          <w:tcPr>
            <w:tcW w:w="9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Three Months Ended June 26, 2026</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March 27,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1,511,649 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2,742,398 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(286,994)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($0.295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26,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1,321,745 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2,522,688 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Six Months Ended June 26,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26,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1,456,710 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2,653,931 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($0.590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26,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1,321,745 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2,522,688 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Three Months Ended June 27,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March 28,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($0.275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27,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1,337,956 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2,501,020 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Six Months Ended June 27,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27,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(49,574)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declared ($0.550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June 27,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1,337,956 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2,501,020 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NOTES TO CONSOLIDATED FINANCIAL STATEMENTS</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Basis of Preparation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consolidated balance sheet of Graco Inc. and subsidiaries (the “Company”) as of June 26, 2026 and the related statements of earnings, comprehensive income and shareholders' equity for the three and six months ended June 26, 2026 and June 27, 2025, and cash flows for the six months ended June 26, 2026 and June 27, 2025 have been prepared by the Company and have not been audited.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opinion of management, these consolidated financial statements reflect all adjustments (consisting of only normal recurring adjustments) necessary to present fairly the financial position of the Company as of June 26, 2026, and the results of operations and cash flows for all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information and footnote disclosures normally included in financial statements prepared in accordance with generally accepted accounting principles have been condensed or omitted. Therefore, these statements should be read in conjunction with the financial statements and notes thereto included in the Company’s Annual Report on Form 10-K for the year ended December 26, 2025 (the "2025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results of operations for interim periods are not necessarily indicative of results that will be realized for the full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Segment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classifies its business into three reportable segments: Contractor, Industrial and Expansion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Segment information follows (in thousands): </w:t>
      </w:r>
    </w:p>
    <w:tbl>
      <w:tblPr>
        <w:tblW w:w="8474" w:type="dxa"/>
        <w:jc w:val="left"/>
        <w:tblInd w:w="0" w:type="dxa"/>
        <w:tblLayout w:type="fixed"/>
        <w:tblCellMar>
          <w:top w:w="28" w:type="dxa"/>
          <w:left w:w="28" w:type="dxa"/>
          <w:bottom w:w="28" w:type="dxa"/>
          <w:right w:w="28" w:type="dxa"/>
        </w:tblCellMar>
      </w:tblPr>
      <w:tblGrid>
        <w:gridCol w:w="994"/>
        <w:gridCol w:w="874"/>
        <w:gridCol w:w="87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Contractor</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Contractor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tbl>
      <w:tblPr>
        <w:tblW w:w="9839" w:type="dxa"/>
        <w:jc w:val="left"/>
        <w:tblInd w:w="0" w:type="dxa"/>
        <w:tblLayout w:type="fixed"/>
        <w:tblCellMar>
          <w:top w:w="28" w:type="dxa"/>
          <w:left w:w="28" w:type="dxa"/>
          <w:bottom w:w="28" w:type="dxa"/>
          <w:right w:w="28" w:type="dxa"/>
        </w:tblCellMar>
      </w:tblPr>
      <w:tblGrid>
        <w:gridCol w:w="1487"/>
        <w:gridCol w:w="1308"/>
        <w:gridCol w:w="131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Expansion Markets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Expansion Markets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Reportable Segment Operating Earnings Total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Geographic information follows (in thousands):</w:t>
      </w:r>
    </w:p>
    <w:tbl>
      <w:tblPr>
        <w:tblW w:w="9615" w:type="dxa"/>
        <w:jc w:val="left"/>
        <w:tblInd w:w="0" w:type="dxa"/>
        <w:tblLayout w:type="fixed"/>
        <w:tblCellMar>
          <w:top w:w="28" w:type="dxa"/>
          <w:left w:w="28" w:type="dxa"/>
          <w:bottom w:w="28" w:type="dxa"/>
          <w:right w:w="28" w:type="dxa"/>
        </w:tblCellMar>
      </w:tblPr>
      <w:tblGrid>
        <w:gridCol w:w="1287"/>
        <w:gridCol w:w="1130"/>
        <w:gridCol w:w="1138"/>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 (based on customer location)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countries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4548" w:type="dxa"/>
        <w:jc w:val="left"/>
        <w:tblInd w:w="0" w:type="dxa"/>
        <w:tblLayout w:type="fixed"/>
        <w:tblCellMar>
          <w:top w:w="28" w:type="dxa"/>
          <w:left w:w="28" w:type="dxa"/>
          <w:bottom w:w="28" w:type="dxa"/>
          <w:right w:w="28" w:type="dxa"/>
        </w:tblCellMar>
      </w:tblPr>
      <w:tblGrid>
        <w:gridCol w:w="608"/>
        <w:gridCol w:w="535"/>
        <w:gridCol w:w="537"/>
        <w:gridCol w:w="211"/>
        <w:gridCol w:w="856"/>
        <w:gridCol w:w="109"/>
        <w:gridCol w:w="109"/>
        <w:gridCol w:w="109"/>
        <w:gridCol w:w="109"/>
        <w:gridCol w:w="236"/>
        <w:gridCol w:w="957"/>
        <w:gridCol w:w="172"/>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Long-lived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countries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755,064 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Inventories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Major components of inventories were as follows (in thousands):</w:t>
      </w:r>
    </w:p>
    <w:tbl>
      <w:tblPr>
        <w:tblW w:w="8042" w:type="dxa"/>
        <w:jc w:val="left"/>
        <w:tblInd w:w="0" w:type="dxa"/>
        <w:tblLayout w:type="fixed"/>
        <w:tblCellMar>
          <w:top w:w="28" w:type="dxa"/>
          <w:left w:w="28" w:type="dxa"/>
          <w:bottom w:w="28" w:type="dxa"/>
          <w:right w:w="28" w:type="dxa"/>
        </w:tblCellMar>
      </w:tblPr>
      <w:tblGrid>
        <w:gridCol w:w="1876"/>
        <w:gridCol w:w="1645"/>
        <w:gridCol w:w="1653"/>
        <w:gridCol w:w="211"/>
        <w:gridCol w:w="856"/>
        <w:gridCol w:w="109"/>
        <w:gridCol w:w="109"/>
        <w:gridCol w:w="109"/>
        <w:gridCol w:w="109"/>
        <w:gridCol w:w="236"/>
        <w:gridCol w:w="957"/>
        <w:gridCol w:w="172"/>
      </w:tblGrid>
      <w:tr>
        <w:trPr/>
        <w:tc>
          <w:tcPr>
            <w:tcW w:w="187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products and components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175,684 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 and components in various stages of completion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purchased components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516,109 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 to LIFO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(114,971)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401,138 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4. Share-Based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on common shares granted and outstanding, as well as the weighted average exercise price, are shown below (in thousands, except exercise prices):</w:t>
      </w:r>
    </w:p>
    <w:tbl>
      <w:tblPr>
        <w:tblW w:w="9413" w:type="dxa"/>
        <w:jc w:val="left"/>
        <w:tblInd w:w="0" w:type="dxa"/>
        <w:tblLayout w:type="fixed"/>
        <w:tblCellMar>
          <w:top w:w="28" w:type="dxa"/>
          <w:left w:w="28" w:type="dxa"/>
          <w:bottom w:w="28" w:type="dxa"/>
          <w:right w:w="28" w:type="dxa"/>
        </w:tblCellMar>
      </w:tblPr>
      <w:tblGrid>
        <w:gridCol w:w="1081"/>
        <w:gridCol w:w="950"/>
        <w:gridCol w:w="953"/>
        <w:gridCol w:w="323"/>
        <w:gridCol w:w="323"/>
        <w:gridCol w:w="241"/>
        <w:gridCol w:w="109"/>
        <w:gridCol w:w="109"/>
        <w:gridCol w:w="109"/>
        <w:gridCol w:w="370"/>
        <w:gridCol w:w="1134"/>
        <w:gridCol w:w="191"/>
        <w:gridCol w:w="109"/>
        <w:gridCol w:w="109"/>
        <w:gridCol w:w="109"/>
        <w:gridCol w:w="375"/>
        <w:gridCol w:w="375"/>
        <w:gridCol w:w="376"/>
        <w:gridCol w:w="109"/>
        <w:gridCol w:w="109"/>
        <w:gridCol w:w="109"/>
        <w:gridCol w:w="363"/>
        <w:gridCol w:w="1112"/>
        <w:gridCol w:w="26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Option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Options</w:t>
              <w:b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Weighted Average</w:t>
              <w:br/>
              <w:t>Exercise Price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December 26,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June 26,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recognized year-to-date share-based compensation of $16 million in 2026 and $17 million in 2025. As of June 26, 2026, there was $36 million of unrecognized compensation cost related to unvested options, expected to be recognized over a weighted average period of 2.8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of each option grant is estimated on the date of grant using the Black-Scholes option pricing model with the following weighted average assumptions and results:</w:t>
      </w:r>
    </w:p>
    <w:tbl>
      <w:tblPr>
        <w:tblW w:w="6062" w:type="dxa"/>
        <w:jc w:val="left"/>
        <w:tblInd w:w="0" w:type="dxa"/>
        <w:tblLayout w:type="fixed"/>
        <w:tblCellMar>
          <w:top w:w="28" w:type="dxa"/>
          <w:left w:w="28" w:type="dxa"/>
          <w:bottom w:w="28" w:type="dxa"/>
          <w:right w:w="28" w:type="dxa"/>
        </w:tblCellMar>
      </w:tblPr>
      <w:tblGrid>
        <w:gridCol w:w="1231"/>
        <w:gridCol w:w="1084"/>
        <w:gridCol w:w="1089"/>
        <w:gridCol w:w="211"/>
        <w:gridCol w:w="646"/>
        <w:gridCol w:w="286"/>
        <w:gridCol w:w="109"/>
        <w:gridCol w:w="109"/>
        <w:gridCol w:w="109"/>
        <w:gridCol w:w="211"/>
        <w:gridCol w:w="646"/>
        <w:gridCol w:w="331"/>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Volatility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fair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Company’s Employee Stock Purchase Plan, the Company issued 235,000 shares in 2026 and 246,000 shares in 2025. The fair value of the employees’ purchase rights under this plan was estimated on the date of grant. The benefit of the 15 percent discount from the lesser of the fair market value per common share on the first day and the last day of the plan year was added to the fair value of the employees’ purchase rights determined using the Black-Scholes option pricing model with the following assumptions and results:</w:t>
      </w:r>
    </w:p>
    <w:tbl>
      <w:tblPr>
        <w:tblW w:w="6062" w:type="dxa"/>
        <w:jc w:val="left"/>
        <w:tblInd w:w="0" w:type="dxa"/>
        <w:tblLayout w:type="fixed"/>
        <w:tblCellMar>
          <w:top w:w="28" w:type="dxa"/>
          <w:left w:w="28" w:type="dxa"/>
          <w:bottom w:w="28" w:type="dxa"/>
          <w:right w:w="28" w:type="dxa"/>
        </w:tblCellMar>
      </w:tblPr>
      <w:tblGrid>
        <w:gridCol w:w="1231"/>
        <w:gridCol w:w="1084"/>
        <w:gridCol w:w="1089"/>
        <w:gridCol w:w="211"/>
        <w:gridCol w:w="646"/>
        <w:gridCol w:w="286"/>
        <w:gridCol w:w="109"/>
        <w:gridCol w:w="109"/>
        <w:gridCol w:w="109"/>
        <w:gridCol w:w="211"/>
        <w:gridCol w:w="646"/>
        <w:gridCol w:w="331"/>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Volatility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fair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Earnings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1672"/>
        <w:gridCol w:w="1397"/>
        <w:gridCol w:w="1405"/>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67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earnings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basic earnings per share</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computed using the treasury stock method and the average market price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for diluted earnings per share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shares not included in diluted earnings per share computation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6. Retirement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net periodic benefit cost for retirement benefit plans were as follows (in thousands):</w:t>
      </w:r>
    </w:p>
    <w:tbl>
      <w:tblPr>
        <w:tblW w:w="7305" w:type="dxa"/>
        <w:jc w:val="left"/>
        <w:tblInd w:w="0" w:type="dxa"/>
        <w:tblLayout w:type="fixed"/>
        <w:tblCellMar>
          <w:top w:w="28" w:type="dxa"/>
          <w:left w:w="28" w:type="dxa"/>
          <w:bottom w:w="28" w:type="dxa"/>
          <w:right w:w="28" w:type="dxa"/>
        </w:tblCellMar>
      </w:tblPr>
      <w:tblGrid>
        <w:gridCol w:w="873"/>
        <w:gridCol w:w="767"/>
        <w:gridCol w:w="775"/>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Pension Benefits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Amortization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Postretirement Medical</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Receivables and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includes trade receivables of $409 million and other receivables of $15 million as of June 26, 2026 and $376 million and $18 million of trade receivables and other receivables, respectively, as of December 26,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Allowance for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is a summary of activity for credit losses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tbl>
      <w:tblPr>
        <w:tblW w:w="9584" w:type="dxa"/>
        <w:jc w:val="center"/>
        <w:tblInd w:w="0" w:type="dxa"/>
        <w:tblLayout w:type="fixed"/>
        <w:tblCellMar>
          <w:top w:w="28" w:type="dxa"/>
          <w:left w:w="28" w:type="dxa"/>
          <w:bottom w:w="28" w:type="dxa"/>
          <w:right w:w="28" w:type="dxa"/>
        </w:tblCellMar>
      </w:tblPr>
      <w:tblGrid>
        <w:gridCol w:w="1701"/>
        <w:gridCol w:w="1494"/>
        <w:gridCol w:w="149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(reversals) charged to costs and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 xml:space="preserve">Deductions from reserves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 xml:space="preserve">Other (deductions) additions </w:t>
            </w:r>
            <w:r>
              <w:rPr>
                <w:rFonts w:ascii="Arial;sans-serif" w:hAnsi="Arial;sans-serif"/>
                <w:b w:val="false"/>
                <w:color w:val="000000"/>
                <w:sz w:val="13"/>
              </w:rPr>
              <w:t>(2)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    Represents amounts determined to be uncollectible and charged against reserves, net of collections on accounts previously charged against reserves.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 Includes effects of foreign currency translation.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8.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Components of other intangible assets were as follows (dollars in thousands):</w:t>
      </w:r>
    </w:p>
    <w:tbl>
      <w:tblPr>
        <w:tblW w:w="10205" w:type="dxa"/>
        <w:jc w:val="left"/>
        <w:tblInd w:w="0" w:type="dxa"/>
        <w:tblLayout w:type="fixed"/>
        <w:tblCellMar>
          <w:top w:w="28" w:type="dxa"/>
          <w:left w:w="28" w:type="dxa"/>
          <w:bottom w:w="28" w:type="dxa"/>
          <w:right w:w="28" w:type="dxa"/>
        </w:tblCellMar>
      </w:tblPr>
      <w:tblGrid>
        <w:gridCol w:w="986"/>
        <w:gridCol w:w="856"/>
        <w:gridCol w:w="859"/>
        <w:gridCol w:w="228"/>
        <w:gridCol w:w="928"/>
        <w:gridCol w:w="120"/>
        <w:gridCol w:w="109"/>
        <w:gridCol w:w="109"/>
        <w:gridCol w:w="109"/>
        <w:gridCol w:w="225"/>
        <w:gridCol w:w="809"/>
        <w:gridCol w:w="117"/>
        <w:gridCol w:w="109"/>
        <w:gridCol w:w="109"/>
        <w:gridCol w:w="109"/>
        <w:gridCol w:w="277"/>
        <w:gridCol w:w="851"/>
        <w:gridCol w:w="143"/>
        <w:gridCol w:w="109"/>
        <w:gridCol w:w="109"/>
        <w:gridCol w:w="109"/>
        <w:gridCol w:w="227"/>
        <w:gridCol w:w="926"/>
        <w:gridCol w:w="117"/>
        <w:gridCol w:w="109"/>
        <w:gridCol w:w="109"/>
        <w:gridCol w:w="109"/>
        <w:gridCol w:w="211"/>
        <w:gridCol w:w="856"/>
        <w:gridCol w:w="161"/>
      </w:tblGrid>
      <w:tr>
        <w:trPr/>
        <w:tc>
          <w:tcPr>
            <w:tcW w:w="9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Finite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Indefinite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Customer</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Patents and</w:t>
              <w:br/>
              <w:t>Proprietary</w:t>
              <w:br/>
              <w:t>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Trademarks,</w:t>
              <w:br/>
              <w:t>Trade Names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Trade </w:t>
              <w:br/>
              <w:t>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June 26, 2026</w:t>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(64,181)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Book value</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112,190 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life in years</w:t>
            </w:r>
          </w:p>
        </w:tc>
        <w:tc>
          <w:tcPr>
            <w:tcW w:w="12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63" w:type="dxa"/>
        <w:jc w:val="left"/>
        <w:tblInd w:w="0" w:type="dxa"/>
        <w:tblLayout w:type="fixed"/>
        <w:tblCellMar>
          <w:top w:w="28" w:type="dxa"/>
          <w:left w:w="28" w:type="dxa"/>
          <w:bottom w:w="28" w:type="dxa"/>
          <w:right w:w="28" w:type="dxa"/>
        </w:tblCellMar>
      </w:tblPr>
      <w:tblGrid>
        <w:gridCol w:w="994"/>
        <w:gridCol w:w="873"/>
        <w:gridCol w:w="878"/>
        <w:gridCol w:w="211"/>
        <w:gridCol w:w="856"/>
        <w:gridCol w:w="109"/>
        <w:gridCol w:w="109"/>
        <w:gridCol w:w="109"/>
        <w:gridCol w:w="109"/>
        <w:gridCol w:w="211"/>
        <w:gridCol w:w="751"/>
        <w:gridCol w:w="109"/>
        <w:gridCol w:w="109"/>
        <w:gridCol w:w="109"/>
        <w:gridCol w:w="109"/>
        <w:gridCol w:w="211"/>
        <w:gridCol w:w="646"/>
        <w:gridCol w:w="109"/>
        <w:gridCol w:w="109"/>
        <w:gridCol w:w="109"/>
        <w:gridCol w:w="109"/>
        <w:gridCol w:w="211"/>
        <w:gridCol w:w="856"/>
        <w:gridCol w:w="109"/>
        <w:gridCol w:w="109"/>
        <w:gridCol w:w="109"/>
        <w:gridCol w:w="109"/>
        <w:gridCol w:w="211"/>
        <w:gridCol w:w="85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December 26, 2025</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Book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life in years</w:t>
            </w:r>
          </w:p>
        </w:tc>
        <w:tc>
          <w:tcPr>
            <w:tcW w:w="11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of acquired and other intangible assets for the year to date was $14 million in 2026 and $13 million in 2025. Estimated annual amortization expense based on the current carrying amount of other intangible assets is as follows (in thousands):</w:t>
      </w:r>
    </w:p>
    <w:tbl>
      <w:tblPr>
        <w:tblW w:w="10205" w:type="dxa"/>
        <w:jc w:val="left"/>
        <w:tblInd w:w="0" w:type="dxa"/>
        <w:tblLayout w:type="fixed"/>
        <w:tblCellMar>
          <w:top w:w="28" w:type="dxa"/>
          <w:left w:w="28" w:type="dxa"/>
          <w:bottom w:w="28" w:type="dxa"/>
          <w:right w:w="28" w:type="dxa"/>
        </w:tblCellMar>
      </w:tblPr>
      <w:tblGrid>
        <w:gridCol w:w="678"/>
        <w:gridCol w:w="596"/>
        <w:gridCol w:w="599"/>
        <w:gridCol w:w="254"/>
        <w:gridCol w:w="908"/>
        <w:gridCol w:w="133"/>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 (Remainder)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Thereafter</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Amortization Expense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the carrying amount of goodwill for each reportable segment were as follows (in thousands): </w:t>
      </w:r>
    </w:p>
    <w:tbl>
      <w:tblPr>
        <w:tblW w:w="9938" w:type="dxa"/>
        <w:jc w:val="left"/>
        <w:tblInd w:w="0" w:type="dxa"/>
        <w:tblLayout w:type="fixed"/>
        <w:tblCellMar>
          <w:top w:w="28" w:type="dxa"/>
          <w:left w:w="28" w:type="dxa"/>
          <w:bottom w:w="28" w:type="dxa"/>
          <w:right w:w="28" w:type="dxa"/>
        </w:tblCellMar>
      </w:tblPr>
      <w:tblGrid>
        <w:gridCol w:w="1304"/>
        <w:gridCol w:w="1146"/>
        <w:gridCol w:w="1150"/>
        <w:gridCol w:w="211"/>
        <w:gridCol w:w="856"/>
        <w:gridCol w:w="109"/>
        <w:gridCol w:w="109"/>
        <w:gridCol w:w="109"/>
        <w:gridCol w:w="109"/>
        <w:gridCol w:w="211"/>
        <w:gridCol w:w="856"/>
        <w:gridCol w:w="109"/>
        <w:gridCol w:w="109"/>
        <w:gridCol w:w="109"/>
        <w:gridCol w:w="109"/>
        <w:gridCol w:w="351"/>
        <w:gridCol w:w="1252"/>
        <w:gridCol w:w="181"/>
        <w:gridCol w:w="109"/>
        <w:gridCol w:w="109"/>
        <w:gridCol w:w="109"/>
        <w:gridCol w:w="211"/>
        <w:gridCol w:w="85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Contractor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from business acquisitions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26,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71,466 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575,675 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May 20, 2026, the Company entered into a definitive agreement to acquire Valco Melton for $447 million, subject to customary adjustments. Valco Melton is a global provider of adhesive application and quality assurance systems. The acquisition is expected to be completed during the third quarter of fiscal 2026 and funded with cash on hand.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9. Other Current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current liabilities were as follows (in thousands):</w:t>
      </w:r>
    </w:p>
    <w:tbl>
      <w:tblPr>
        <w:tblW w:w="6618" w:type="dxa"/>
        <w:jc w:val="left"/>
        <w:tblInd w:w="0" w:type="dxa"/>
        <w:tblLayout w:type="fixed"/>
        <w:tblCellMar>
          <w:top w:w="28" w:type="dxa"/>
          <w:left w:w="28" w:type="dxa"/>
          <w:bottom w:w="28" w:type="dxa"/>
          <w:right w:w="28" w:type="dxa"/>
        </w:tblCellMar>
      </w:tblPr>
      <w:tblGrid>
        <w:gridCol w:w="1359"/>
        <w:gridCol w:w="1194"/>
        <w:gridCol w:w="1197"/>
        <w:gridCol w:w="211"/>
        <w:gridCol w:w="856"/>
        <w:gridCol w:w="109"/>
        <w:gridCol w:w="109"/>
        <w:gridCol w:w="109"/>
        <w:gridCol w:w="109"/>
        <w:gridCol w:w="236"/>
        <w:gridCol w:w="957"/>
        <w:gridCol w:w="172"/>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self-insurance retentions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warranty and service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trade promotions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Payable for employee stock purchases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Customer advances and 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payable,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return refund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lease liabilities, current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241,867 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liability is established for estimated future warranty and service claims that relate to current and prior period sales. The Company estimates warranty costs based on historical claim experience and other factors, including evaluating specific product warranty issues. Following is a summary of activity in accrued warranty and service liabilities (in thousands):</w:t>
      </w:r>
    </w:p>
    <w:tbl>
      <w:tblPr>
        <w:tblW w:w="3921" w:type="dxa"/>
        <w:jc w:val="left"/>
        <w:tblInd w:w="0" w:type="dxa"/>
        <w:tblLayout w:type="fixed"/>
        <w:tblCellMar>
          <w:top w:w="28" w:type="dxa"/>
          <w:left w:w="28" w:type="dxa"/>
          <w:bottom w:w="28" w:type="dxa"/>
          <w:right w:w="28" w:type="dxa"/>
        </w:tblCellMar>
      </w:tblPr>
      <w:tblGrid>
        <w:gridCol w:w="1016"/>
        <w:gridCol w:w="893"/>
        <w:gridCol w:w="896"/>
        <w:gridCol w:w="211"/>
        <w:gridCol w:w="75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26,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Charged to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Margin on parts sales reversed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claims settled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June 26,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Customer Advances and Deferred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is deferred when cash payments are received or due in advance of performance, including amounts which are refundable. This is also the case for services associated with certain product sales. During the three and six months ended June 26, 2026, The Company recognized $27 million and $62 million, respectively, that was included in deferred revenue at December 26, 2025. During the three and six months ended June 27, 2025, the Company recognized $17 million and $46 million, respectively, that was included in deferred revenue at December 27,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Fair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and liabilities measured at fair value on a recurring basis and fair value measurement level were as follows (in thousands):</w:t>
      </w:r>
    </w:p>
    <w:tbl>
      <w:tblPr>
        <w:tblW w:w="7065" w:type="dxa"/>
        <w:jc w:val="left"/>
        <w:tblInd w:w="0" w:type="dxa"/>
        <w:tblLayout w:type="fixed"/>
        <w:tblCellMar>
          <w:top w:w="28" w:type="dxa"/>
          <w:left w:w="28" w:type="dxa"/>
          <w:bottom w:w="28" w:type="dxa"/>
          <w:right w:w="28" w:type="dxa"/>
        </w:tblCellMar>
      </w:tblPr>
      <w:tblGrid>
        <w:gridCol w:w="1229"/>
        <w:gridCol w:w="1080"/>
        <w:gridCol w:w="1095"/>
        <w:gridCol w:w="190"/>
        <w:gridCol w:w="190"/>
        <w:gridCol w:w="191"/>
        <w:gridCol w:w="109"/>
        <w:gridCol w:w="109"/>
        <w:gridCol w:w="109"/>
        <w:gridCol w:w="211"/>
        <w:gridCol w:w="751"/>
        <w:gridCol w:w="109"/>
        <w:gridCol w:w="109"/>
        <w:gridCol w:w="109"/>
        <w:gridCol w:w="109"/>
        <w:gridCol w:w="258"/>
        <w:gridCol w:w="919"/>
        <w:gridCol w:w="188"/>
      </w:tblGrid>
      <w:tr>
        <w:trPr/>
        <w:tc>
          <w:tcPr>
            <w:tcW w:w="122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26,</w:t>
              <w:b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surrender value of life insurance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Forward exchange contracts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at fair value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Forward exchange contracts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at fair value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The deferred compensation liability balances are valued based on amounts allocated by participants to the underlying performance measurement funds.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Contingent consideration liabilities represent the estimated value (using a probability-weighted expected return approach) of future payments to be made to previous owners of certain acquired businesses based on future 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of variable rate borrowings approximates carrying value. The Company uses significant other observable inputs to estimate fair value (level 2 of the fair value hierarchy) based on the present value of future cash flows and rates that would be available for issuance of debt with similar terms and remaining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Item 2. GRACO INC.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MANAGEMENT'S DISCUSSION AND ANALYSIS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supplies technology and expertise for the management of fluids and coatings in both industrial and commercial applications. It designs, manufactures and markets systems and equipment to move, measure, control, dispense and spray fluid and coating materials. Management classifies the Company’s business into three reportable segments: Contractor, Industrial and Expansion Markets. Key strategies include developing and marketing new products, leveraging products and technologies into additional, growing end-user markets, expanding distribution globally and completing strategic acquisitions that provide additional channels and technologies.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Management’s Discussion and Analysis reviews significant factors affecting the Company’s results of operations and financial condition. This discussion should be read in conjunction with the consolidated financial statements and the accompanying 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Tariffs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20, 2026, the U.S. Supreme Court issued a decision invalidating certain tariffs imposed under the International Emergency Economic Powers Act ("IEEPA"). The U.S. Court of International Trade subsequently issued orders directing the U.S. Customs and Border Protection to refund previously collected IEEPA tariffs. The situation continues to evolve, and further legislative, regulatory, or judicial developments may affect the ultimate outcome and the availability or timing of any refunds. Given the significant uncertainty involved, the Company determined to only recognize IEEPA tariff refunds upon receipt. The Company began receiving IEEPA tariff refunds during the second quarter of 2026. Through the three and six months ended June 26, 2026, the Company received $9 million in refunds, net of related surcharges.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Consolidated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financial results follows (in millions except per share amounts):</w:t>
      </w:r>
    </w:p>
    <w:tbl>
      <w:tblPr>
        <w:tblW w:w="10205" w:type="dxa"/>
        <w:jc w:val="left"/>
        <w:tblInd w:w="0" w:type="dxa"/>
        <w:tblLayout w:type="fixed"/>
        <w:tblCellMar>
          <w:top w:w="28" w:type="dxa"/>
          <w:left w:w="28" w:type="dxa"/>
          <w:bottom w:w="28" w:type="dxa"/>
          <w:right w:w="28" w:type="dxa"/>
        </w:tblCellMar>
      </w:tblPr>
      <w:tblGrid>
        <w:gridCol w:w="1001"/>
        <w:gridCol w:w="862"/>
        <w:gridCol w:w="795"/>
        <w:gridCol w:w="211"/>
        <w:gridCol w:w="646"/>
        <w:gridCol w:w="109"/>
        <w:gridCol w:w="109"/>
        <w:gridCol w:w="109"/>
        <w:gridCol w:w="109"/>
        <w:gridCol w:w="211"/>
        <w:gridCol w:w="646"/>
        <w:gridCol w:w="109"/>
        <w:gridCol w:w="109"/>
        <w:gridCol w:w="109"/>
        <w:gridCol w:w="109"/>
        <w:gridCol w:w="188"/>
        <w:gridCol w:w="188"/>
        <w:gridCol w:w="470"/>
        <w:gridCol w:w="109"/>
        <w:gridCol w:w="109"/>
        <w:gridCol w:w="109"/>
        <w:gridCol w:w="211"/>
        <w:gridCol w:w="811"/>
        <w:gridCol w:w="109"/>
        <w:gridCol w:w="109"/>
        <w:gridCol w:w="109"/>
        <w:gridCol w:w="109"/>
        <w:gridCol w:w="211"/>
        <w:gridCol w:w="811"/>
        <w:gridCol w:w="109"/>
        <w:gridCol w:w="109"/>
        <w:gridCol w:w="109"/>
        <w:gridCol w:w="109"/>
        <w:gridCol w:w="172"/>
        <w:gridCol w:w="172"/>
        <w:gridCol w:w="528"/>
      </w:tblGrid>
      <w:tr>
        <w:trPr/>
        <w:tc>
          <w:tcPr>
            <w:tcW w:w="100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br/>
              <w:t> Change</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Operating Earnings, adjusted </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Net Earnings, adjusted </w:t>
            </w:r>
            <w:r>
              <w:rPr>
                <w:rFonts w:ascii="Arial;sans-serif" w:hAnsi="Arial;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Diluted Net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Diluted Net Earnings per Common Share, adjusted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80" w:after="283"/>
        <w:ind w:left="0" w:right="0" w:hanging="270"/>
        <w:jc w:val="left"/>
        <w:rPr/>
      </w:pPr>
      <w:r>
        <w:rPr>
          <w:rFonts w:ascii="Arial;sans-serif" w:hAnsi="Arial;sans-serif"/>
          <w:b w:val="false"/>
          <w:color w:val="000000"/>
          <w:sz w:val="18"/>
        </w:rPr>
        <w:t>(1)</w:t>
      </w:r>
      <w:r>
        <w:rPr>
          <w:color w:val="000000"/>
        </w:rPr>
        <w:t xml:space="preserve"> </w:t>
      </w:r>
      <w:r>
        <w:rPr>
          <w:rFonts w:ascii="Arial;sans-serif" w:hAnsi="Arial;sans-serif"/>
          <w:b w:val="false"/>
          <w:color w:val="000000"/>
          <w:sz w:val="18"/>
        </w:rPr>
        <w:t>Adjusted operating earnings, adjusted net earnings and adjusted diluted net earnings per common share reflect the Company's updated non-GAAP methodology. See below for additional information.</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sales for the second quarter increased 3 percent, with 3 percentage points of sales growth from acquired operations and 1 percentage point of sales growth from the effects of favorable changes in currency translation rates. Sales growth for the quarter was partially offset by a 1 percentage point organic decline related to the timing of finishing system sales and other project activity in the Industrial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earnings increased 11 percent for the second quarter. Adjusted operating earnings increased 11 percent, due primarily to a higher gross margin rate driven by lower operating expenses and the receipt of $9 million in tariff refunds, net of related surcharges.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earnings increased 14 percent for the second quarter. Adjusted net earnings increased 15 percent, driven by higher operating earnings and $5 million in lower exchange losses on net assets of foreign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Beginning in the second quarter of 2026, the Company updated its non-GAAP adjusted measurements to exclude acquisition costs and amortization of acquired intangible assets. The Company excludes acquisition costs and amortization of acquired intangible assets to provide a consistent comparison of operating results across reporting periods. While the Company has a history of acquisition activity, the Company's acquisitions do not occur on a predictable cycle, and transactions vary in complexity, timing, size and nature. Acquisition costs include third-party legal, valuation, consulting and other incremental costs incurred in connection with acquisition activities as well as purchase accounting adjustments. Management uses these adjusted measures to evaluate operating performance and, for acquisition costs, in determining incentive compensation. These excluded items to the non-GAAP adjusted measurements provide supplemental information useful in evaluating the Company's underlying operating performance. Prior-period amounts have been recast to conform to the current presentation.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Excluding the impact of acquisition costs, amortization of acquired intangible assets, the related income tax effects of these items and excess tax benefits from stock option exercises presents a more consistent basis for comparison of financial results. A calculation of the non-GAAP adjusted measurements of operating earnings, earnings before income taxes, income taxes, effective income tax rate, net earnings and diluted earnings per share follows (in millions except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84"/>
        <w:gridCol w:w="1460"/>
        <w:gridCol w:w="1462"/>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332"/>
      </w:tblGrid>
      <w:tr>
        <w:trPr/>
        <w:tc>
          <w:tcPr>
            <w:tcW w:w="168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 adjusted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315.8 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 as reported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as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amortization of acquired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tax benefit from option exercises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As reported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Adjusted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as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 net of tax</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 net of tax</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tax benefit from option exercises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Diluted Shares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As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an overview of components of net earnings as a percentage of net sales:</w:t>
      </w:r>
    </w:p>
    <w:tbl>
      <w:tblPr>
        <w:tblW w:w="8855" w:type="dxa"/>
        <w:jc w:val="left"/>
        <w:tblInd w:w="0" w:type="dxa"/>
        <w:tblLayout w:type="fixed"/>
        <w:tblCellMar>
          <w:top w:w="28" w:type="dxa"/>
          <w:left w:w="28" w:type="dxa"/>
          <w:bottom w:w="28" w:type="dxa"/>
          <w:right w:w="28" w:type="dxa"/>
        </w:tblCellMar>
      </w:tblPr>
      <w:tblGrid>
        <w:gridCol w:w="1109"/>
        <w:gridCol w:w="972"/>
        <w:gridCol w:w="979"/>
        <w:gridCol w:w="352"/>
        <w:gridCol w:w="294"/>
        <w:gridCol w:w="486"/>
        <w:gridCol w:w="156"/>
        <w:gridCol w:w="156"/>
        <w:gridCol w:w="156"/>
        <w:gridCol w:w="352"/>
        <w:gridCol w:w="294"/>
        <w:gridCol w:w="486"/>
        <w:gridCol w:w="109"/>
        <w:gridCol w:w="109"/>
        <w:gridCol w:w="109"/>
        <w:gridCol w:w="352"/>
        <w:gridCol w:w="294"/>
        <w:gridCol w:w="486"/>
        <w:gridCol w:w="138"/>
        <w:gridCol w:w="138"/>
        <w:gridCol w:w="138"/>
        <w:gridCol w:w="352"/>
        <w:gridCol w:w="294"/>
        <w:gridCol w:w="544"/>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marketing and distribution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Earnings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Net Sales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net sales by geographic region (in millions):</w:t>
      </w:r>
    </w:p>
    <w:tbl>
      <w:tblPr>
        <w:tblW w:w="6466" w:type="dxa"/>
        <w:jc w:val="left"/>
        <w:tblInd w:w="0" w:type="dxa"/>
        <w:tblLayout w:type="fixed"/>
        <w:tblCellMar>
          <w:top w:w="28" w:type="dxa"/>
          <w:left w:w="28" w:type="dxa"/>
          <w:bottom w:w="28" w:type="dxa"/>
          <w:right w:w="28" w:type="dxa"/>
        </w:tblCellMar>
      </w:tblPr>
      <w:tblGrid>
        <w:gridCol w:w="451"/>
        <w:gridCol w:w="396"/>
        <w:gridCol w:w="399"/>
        <w:gridCol w:w="211"/>
        <w:gridCol w:w="646"/>
        <w:gridCol w:w="109"/>
        <w:gridCol w:w="109"/>
        <w:gridCol w:w="109"/>
        <w:gridCol w:w="109"/>
        <w:gridCol w:w="211"/>
        <w:gridCol w:w="646"/>
        <w:gridCol w:w="109"/>
        <w:gridCol w:w="109"/>
        <w:gridCol w:w="109"/>
        <w:gridCol w:w="109"/>
        <w:gridCol w:w="211"/>
        <w:gridCol w:w="811"/>
        <w:gridCol w:w="109"/>
        <w:gridCol w:w="109"/>
        <w:gridCol w:w="109"/>
        <w:gridCol w:w="109"/>
        <w:gridCol w:w="211"/>
        <w:gridCol w:w="811"/>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Americas</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EMEA</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sans-serif" w:hAnsi="Arial;sans-serif"/>
          <w:b w:val="false"/>
          <w:color w:val="000000"/>
          <w:sz w:val="18"/>
        </w:rPr>
      </w:pPr>
      <w:r>
        <w:rPr>
          <w:rFonts w:ascii="Arial;sans-serif" w:hAnsi="Arial;sans-serif"/>
          <w:b w:val="false"/>
          <w:color w:val="000000"/>
          <w:sz w:val="18"/>
        </w:rPr>
        <w:t>(1)     North, South and Central America, including the United States</w:t>
      </w:r>
    </w:p>
    <w:p>
      <w:pPr>
        <w:pStyle w:val="TextBody"/>
        <w:bidi w:val="0"/>
        <w:spacing w:lineRule="auto" w:line="288" w:before="0" w:after="0"/>
        <w:ind w:left="0" w:right="0" w:hanging="360"/>
        <w:jc w:val="left"/>
        <w:rPr/>
      </w:pPr>
      <w:r>
        <w:rPr>
          <w:rFonts w:ascii="Arial;sans-serif" w:hAnsi="Arial;sans-serif"/>
          <w:b w:val="false"/>
          <w:color w:val="000000"/>
          <w:sz w:val="18"/>
        </w:rPr>
        <w:t>(2)</w:t>
      </w:r>
      <w:r>
        <w:rPr>
          <w:color w:val="000000"/>
        </w:rPr>
        <w:t>    </w:t>
      </w:r>
      <w:r>
        <w:rPr>
          <w:rFonts w:ascii="Arial;sans-serif" w:hAnsi="Arial;sans-serif"/>
          <w:b w:val="false"/>
          <w:color w:val="000000"/>
          <w:sz w:val="18"/>
        </w:rPr>
        <w:t>Europe, Middle East and Africa</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w:t>
      </w:r>
    </w:p>
    <w:tbl>
      <w:tblPr>
        <w:tblW w:w="10308" w:type="dxa"/>
        <w:jc w:val="left"/>
        <w:tblInd w:w="0" w:type="dxa"/>
        <w:tblLayout w:type="fixed"/>
        <w:tblCellMar>
          <w:top w:w="28" w:type="dxa"/>
          <w:left w:w="28" w:type="dxa"/>
          <w:bottom w:w="28" w:type="dxa"/>
          <w:right w:w="28" w:type="dxa"/>
        </w:tblCellMar>
      </w:tblPr>
      <w:tblGrid>
        <w:gridCol w:w="450"/>
        <w:gridCol w:w="396"/>
        <w:gridCol w:w="400"/>
        <w:gridCol w:w="255"/>
        <w:gridCol w:w="255"/>
        <w:gridCol w:w="256"/>
        <w:gridCol w:w="109"/>
        <w:gridCol w:w="109"/>
        <w:gridCol w:w="109"/>
        <w:gridCol w:w="390"/>
        <w:gridCol w:w="390"/>
        <w:gridCol w:w="391"/>
        <w:gridCol w:w="109"/>
        <w:gridCol w:w="109"/>
        <w:gridCol w:w="109"/>
        <w:gridCol w:w="295"/>
        <w:gridCol w:w="295"/>
        <w:gridCol w:w="296"/>
        <w:gridCol w:w="109"/>
        <w:gridCol w:w="109"/>
        <w:gridCol w:w="109"/>
        <w:gridCol w:w="180"/>
        <w:gridCol w:w="180"/>
        <w:gridCol w:w="181"/>
        <w:gridCol w:w="109"/>
        <w:gridCol w:w="109"/>
        <w:gridCol w:w="109"/>
        <w:gridCol w:w="255"/>
        <w:gridCol w:w="255"/>
        <w:gridCol w:w="256"/>
        <w:gridCol w:w="109"/>
        <w:gridCol w:w="109"/>
        <w:gridCol w:w="109"/>
        <w:gridCol w:w="390"/>
        <w:gridCol w:w="390"/>
        <w:gridCol w:w="391"/>
        <w:gridCol w:w="109"/>
        <w:gridCol w:w="109"/>
        <w:gridCol w:w="109"/>
        <w:gridCol w:w="295"/>
        <w:gridCol w:w="295"/>
        <w:gridCol w:w="296"/>
        <w:gridCol w:w="109"/>
        <w:gridCol w:w="109"/>
        <w:gridCol w:w="109"/>
        <w:gridCol w:w="171"/>
        <w:gridCol w:w="171"/>
        <w:gridCol w:w="24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Gross Profit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gross profit margin rate increased approximately 1 percentage point for the second quarter and was flat for the year to date from the comparable periods last year. For the quarter, price realization and the receipt of $9 million in tariff refunds, net of related surcharges, more than offset the unfavorable effects of lower margin rates from acquired operations. For the year to date, price realization and $9 million in tariff refunds, net of related surcharges, more than offset $6 million of incremental tariff costs, unfavorable product and channel mix and lower margin rates of acquired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Operating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operating expenses decreased modestly for the second quarter and increased $9 million (3 percentage points) year to date compared to the same periods last year. Incremental expenses from acquired operations of $5 million for the quarter and $11 million for the year to date were partially offset by decreases in stock compensation, product development spending and selling, marketing and distribution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Other (Income)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non-operating income increased by $6 million in the second quarter and $1 million for the year to date from the comparable periods last year, primarily due to lower foreign exchange losses on net assets of foreign operations of $5 million and $6 million, respectively. The year to date increase in other non-operating income was partially offset by a prior year gain of $5 million from the sale of a former manufacturing and distribution facility in Switzerland that did not repeat.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effective income tax rate was 20 percent for the second quarter and 18 percent for the year to date. Adjusted to exclude the impacts of certain non-recurring items (see Consolidated Results for Comparability), the adjusted effective income tax rate of 20 percent for both the quarter and year to date was comparable to the respective periods last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Segment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measurements of segment operations compared to last year are summarized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Contractor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net sales and operating earnings as a percentage of sales for the Contractor segment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(dollars in millions):</w:t>
      </w:r>
    </w:p>
    <w:tbl>
      <w:tblPr>
        <w:tblW w:w="9887" w:type="dxa"/>
        <w:jc w:val="left"/>
        <w:tblInd w:w="0" w:type="dxa"/>
        <w:tblLayout w:type="fixed"/>
        <w:tblCellMar>
          <w:top w:w="28" w:type="dxa"/>
          <w:left w:w="28" w:type="dxa"/>
          <w:bottom w:w="28" w:type="dxa"/>
          <w:right w:w="28" w:type="dxa"/>
        </w:tblCellMar>
      </w:tblPr>
      <w:tblGrid>
        <w:gridCol w:w="1555"/>
        <w:gridCol w:w="1356"/>
        <w:gridCol w:w="1378"/>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331"/>
      </w:tblGrid>
      <w:tr>
        <w:trPr/>
        <w:tc>
          <w:tcPr>
            <w:tcW w:w="155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EMEA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Asia Pacific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 as a percentage of net sales</w:t>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 for the Contractor segment:</w:t>
      </w:r>
    </w:p>
    <w:tbl>
      <w:tblPr>
        <w:tblW w:w="10205" w:type="dxa"/>
        <w:jc w:val="left"/>
        <w:tblInd w:w="0" w:type="dxa"/>
        <w:tblLayout w:type="fixed"/>
        <w:tblCellMar>
          <w:top w:w="28" w:type="dxa"/>
          <w:left w:w="28" w:type="dxa"/>
          <w:bottom w:w="28" w:type="dxa"/>
          <w:right w:w="28" w:type="dxa"/>
        </w:tblCellMar>
      </w:tblPr>
      <w:tblGrid>
        <w:gridCol w:w="356"/>
        <w:gridCol w:w="313"/>
        <w:gridCol w:w="315"/>
        <w:gridCol w:w="280"/>
        <w:gridCol w:w="280"/>
        <w:gridCol w:w="281"/>
        <w:gridCol w:w="109"/>
        <w:gridCol w:w="109"/>
        <w:gridCol w:w="109"/>
        <w:gridCol w:w="390"/>
        <w:gridCol w:w="390"/>
        <w:gridCol w:w="391"/>
        <w:gridCol w:w="109"/>
        <w:gridCol w:w="109"/>
        <w:gridCol w:w="109"/>
        <w:gridCol w:w="295"/>
        <w:gridCol w:w="295"/>
        <w:gridCol w:w="296"/>
        <w:gridCol w:w="109"/>
        <w:gridCol w:w="109"/>
        <w:gridCol w:w="109"/>
        <w:gridCol w:w="180"/>
        <w:gridCol w:w="180"/>
        <w:gridCol w:w="181"/>
        <w:gridCol w:w="109"/>
        <w:gridCol w:w="109"/>
        <w:gridCol w:w="109"/>
        <w:gridCol w:w="280"/>
        <w:gridCol w:w="280"/>
        <w:gridCol w:w="281"/>
        <w:gridCol w:w="109"/>
        <w:gridCol w:w="109"/>
        <w:gridCol w:w="109"/>
        <w:gridCol w:w="391"/>
        <w:gridCol w:w="391"/>
        <w:gridCol w:w="392"/>
        <w:gridCol w:w="109"/>
        <w:gridCol w:w="109"/>
        <w:gridCol w:w="109"/>
        <w:gridCol w:w="295"/>
        <w:gridCol w:w="295"/>
        <w:gridCol w:w="296"/>
        <w:gridCol w:w="109"/>
        <w:gridCol w:w="109"/>
        <w:gridCol w:w="109"/>
        <w:gridCol w:w="171"/>
        <w:gridCol w:w="171"/>
        <w:gridCol w:w="25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w:t>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Total</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Contractor segment net sales growth for the second quarter and year to date included $7 million and $14 million, respectively, from acquired operations. Organic sales growth in the Americas for the second quarter and year to date was broad-based, and included growth in protective coating and spray foam product categories as well as within the professional paint and home center channels. The operating margin rate for this segment increased 4 percentage points for the quarter and 2 percentage points for the year to date, primarily due to lower operating expenses and the net impact of tariff refunds and related surcharges of $5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Industrial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net sales and operating earnings as a percentage of sales for the Industrial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(dollars in millions):</w:t>
      </w:r>
    </w:p>
    <w:tbl>
      <w:tblPr>
        <w:tblW w:w="9887" w:type="dxa"/>
        <w:jc w:val="left"/>
        <w:tblInd w:w="0" w:type="dxa"/>
        <w:tblLayout w:type="fixed"/>
        <w:tblCellMar>
          <w:top w:w="28" w:type="dxa"/>
          <w:left w:w="28" w:type="dxa"/>
          <w:bottom w:w="28" w:type="dxa"/>
          <w:right w:w="28" w:type="dxa"/>
        </w:tblCellMar>
      </w:tblPr>
      <w:tblGrid>
        <w:gridCol w:w="1555"/>
        <w:gridCol w:w="1356"/>
        <w:gridCol w:w="1378"/>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331"/>
      </w:tblGrid>
      <w:tr>
        <w:trPr/>
        <w:tc>
          <w:tcPr>
            <w:tcW w:w="155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EMEA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Asia Pacific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 as a percentage of net sales</w:t>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 for the Industrial segment:</w:t>
      </w:r>
    </w:p>
    <w:tbl>
      <w:tblPr>
        <w:tblW w:w="10205" w:type="dxa"/>
        <w:jc w:val="left"/>
        <w:tblInd w:w="0" w:type="dxa"/>
        <w:tblLayout w:type="fixed"/>
        <w:tblCellMar>
          <w:top w:w="28" w:type="dxa"/>
          <w:left w:w="28" w:type="dxa"/>
          <w:bottom w:w="28" w:type="dxa"/>
          <w:right w:w="28" w:type="dxa"/>
        </w:tblCellMar>
      </w:tblPr>
      <w:tblGrid>
        <w:gridCol w:w="356"/>
        <w:gridCol w:w="313"/>
        <w:gridCol w:w="315"/>
        <w:gridCol w:w="280"/>
        <w:gridCol w:w="280"/>
        <w:gridCol w:w="281"/>
        <w:gridCol w:w="109"/>
        <w:gridCol w:w="109"/>
        <w:gridCol w:w="109"/>
        <w:gridCol w:w="390"/>
        <w:gridCol w:w="390"/>
        <w:gridCol w:w="391"/>
        <w:gridCol w:w="109"/>
        <w:gridCol w:w="109"/>
        <w:gridCol w:w="109"/>
        <w:gridCol w:w="295"/>
        <w:gridCol w:w="295"/>
        <w:gridCol w:w="296"/>
        <w:gridCol w:w="109"/>
        <w:gridCol w:w="109"/>
        <w:gridCol w:w="109"/>
        <w:gridCol w:w="180"/>
        <w:gridCol w:w="180"/>
        <w:gridCol w:w="181"/>
        <w:gridCol w:w="109"/>
        <w:gridCol w:w="109"/>
        <w:gridCol w:w="109"/>
        <w:gridCol w:w="280"/>
        <w:gridCol w:w="280"/>
        <w:gridCol w:w="281"/>
        <w:gridCol w:w="109"/>
        <w:gridCol w:w="109"/>
        <w:gridCol w:w="109"/>
        <w:gridCol w:w="391"/>
        <w:gridCol w:w="391"/>
        <w:gridCol w:w="392"/>
        <w:gridCol w:w="109"/>
        <w:gridCol w:w="109"/>
        <w:gridCol w:w="109"/>
        <w:gridCol w:w="295"/>
        <w:gridCol w:w="295"/>
        <w:gridCol w:w="296"/>
        <w:gridCol w:w="109"/>
        <w:gridCol w:w="109"/>
        <w:gridCol w:w="109"/>
        <w:gridCol w:w="171"/>
        <w:gridCol w:w="171"/>
        <w:gridCol w:w="250"/>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w:t>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Total</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Industrial segment incremental sales from acquired operations of $11 million in the second quarter and $31 million for the year to date more than offset an organic sales decline, which was primarily attributable to the timing of finishing system sales and other project-related activity compared to the respective periods last year. The operating margin rate for this segment was flat for the second quarter compared to the same period last year as an improved gross margin rate, primarily due to the second quarter net impact of tariff refunds and related surcharges of $4 million, offset the unfavorable effects of lower margin rates of acquired operations. For the year to date, the operating margin rate decreased 1 percentage point as lower operating expenses and the net impact of tariff refunds and related surcharges were unable to offset the unfavorable effects of lower margin rates of acquired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Arial;sans-serif" w:hAnsi="Arial;sans-serif"/>
          <w:b w:val="false"/>
          <w:color w:val="000000"/>
          <w:sz w:val="20"/>
          <w:u w:val="single"/>
        </w:rPr>
      </w:pPr>
      <w:r>
        <w:rPr>
          <w:rFonts w:ascii="Arial;sans-serif" w:hAnsi="Arial;sans-serif"/>
          <w:b w:val="false"/>
          <w:color w:val="000000"/>
          <w:sz w:val="20"/>
          <w:u w:val="single"/>
        </w:rPr>
        <w:t>Expansion Markets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net sales and operating earnings as a percentage of sales for the Expansion Markets segment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tbl>
      <w:tblPr>
        <w:tblW w:w="9467" w:type="dxa"/>
        <w:jc w:val="left"/>
        <w:tblInd w:w="0" w:type="dxa"/>
        <w:tblLayout w:type="fixed"/>
        <w:tblCellMar>
          <w:top w:w="28" w:type="dxa"/>
          <w:left w:w="28" w:type="dxa"/>
          <w:bottom w:w="28" w:type="dxa"/>
          <w:right w:w="28" w:type="dxa"/>
        </w:tblCellMar>
      </w:tblPr>
      <w:tblGrid>
        <w:gridCol w:w="1555"/>
        <w:gridCol w:w="1356"/>
        <w:gridCol w:w="1378"/>
        <w:gridCol w:w="211"/>
        <w:gridCol w:w="541"/>
        <w:gridCol w:w="286"/>
        <w:gridCol w:w="109"/>
        <w:gridCol w:w="109"/>
        <w:gridCol w:w="109"/>
        <w:gridCol w:w="211"/>
        <w:gridCol w:w="541"/>
        <w:gridCol w:w="286"/>
        <w:gridCol w:w="109"/>
        <w:gridCol w:w="109"/>
        <w:gridCol w:w="109"/>
        <w:gridCol w:w="211"/>
        <w:gridCol w:w="541"/>
        <w:gridCol w:w="286"/>
        <w:gridCol w:w="109"/>
        <w:gridCol w:w="109"/>
        <w:gridCol w:w="109"/>
        <w:gridCol w:w="211"/>
        <w:gridCol w:w="541"/>
        <w:gridCol w:w="331"/>
      </w:tblGrid>
      <w:tr>
        <w:trPr/>
        <w:tc>
          <w:tcPr>
            <w:tcW w:w="155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27,</w:t>
              <w:b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Sales</w:t>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EMEA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Asia Pacific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earnings as a percentage of net sales</w:t>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components of net sales change by geographic region for the Expansion Markets segment:</w:t>
      </w:r>
    </w:p>
    <w:tbl>
      <w:tblPr>
        <w:tblW w:w="10205" w:type="dxa"/>
        <w:jc w:val="left"/>
        <w:tblInd w:w="0" w:type="dxa"/>
        <w:tblLayout w:type="fixed"/>
        <w:tblCellMar>
          <w:top w:w="28" w:type="dxa"/>
          <w:left w:w="28" w:type="dxa"/>
          <w:bottom w:w="28" w:type="dxa"/>
          <w:right w:w="28" w:type="dxa"/>
        </w:tblCellMar>
      </w:tblPr>
      <w:tblGrid>
        <w:gridCol w:w="354"/>
        <w:gridCol w:w="312"/>
        <w:gridCol w:w="314"/>
        <w:gridCol w:w="278"/>
        <w:gridCol w:w="278"/>
        <w:gridCol w:w="279"/>
        <w:gridCol w:w="109"/>
        <w:gridCol w:w="109"/>
        <w:gridCol w:w="109"/>
        <w:gridCol w:w="391"/>
        <w:gridCol w:w="391"/>
        <w:gridCol w:w="392"/>
        <w:gridCol w:w="109"/>
        <w:gridCol w:w="109"/>
        <w:gridCol w:w="109"/>
        <w:gridCol w:w="295"/>
        <w:gridCol w:w="295"/>
        <w:gridCol w:w="296"/>
        <w:gridCol w:w="109"/>
        <w:gridCol w:w="109"/>
        <w:gridCol w:w="109"/>
        <w:gridCol w:w="181"/>
        <w:gridCol w:w="181"/>
        <w:gridCol w:w="182"/>
        <w:gridCol w:w="109"/>
        <w:gridCol w:w="109"/>
        <w:gridCol w:w="109"/>
        <w:gridCol w:w="278"/>
        <w:gridCol w:w="278"/>
        <w:gridCol w:w="279"/>
        <w:gridCol w:w="109"/>
        <w:gridCol w:w="109"/>
        <w:gridCol w:w="109"/>
        <w:gridCol w:w="391"/>
        <w:gridCol w:w="391"/>
        <w:gridCol w:w="392"/>
        <w:gridCol w:w="109"/>
        <w:gridCol w:w="109"/>
        <w:gridCol w:w="109"/>
        <w:gridCol w:w="295"/>
        <w:gridCol w:w="295"/>
        <w:gridCol w:w="296"/>
        <w:gridCol w:w="109"/>
        <w:gridCol w:w="109"/>
        <w:gridCol w:w="109"/>
        <w:gridCol w:w="172"/>
        <w:gridCol w:w="172"/>
        <w:gridCol w:w="258"/>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w:t>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Volume and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Total</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Expansion Markets net sales increased 3% for the second quarter and decreased 1% year to date compared to the same periods last year. Improved order rates in the semiconductor product application drove most of the second quarter sales growth. The segment's operating margin rate increased 1 percentage point for the quarter due primarily to lower expenses. The year to date operating margin rate was flat, as lower expenses offset the impact of lower sales volume.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of $298 million in the first six months of 2026 decreased by $10 million compared to the same period last year. Increases in accounts receivable and accounts payable reflect growth in business activity in the second quarter of 2026. Significant uses of cash in the first half of 2026 included share repurchases of $331 million (partially offset by $43 million of net proceeds from shares issued), dividend payments of $98 million and plant and equipment additions of $29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first half of 2025, significant uses of cash included share repurchases of $361 million (partially offset by $25 million from shares issued) and dividend payments of $92 million and plant and equipment additions of $30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26, 2026, the Company had available liquidity of $1,279 million, including cash and cash equivalents of $508 million, of which $174 million was held outside of the U.S., and available credit under existing committed credit facilities of $771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balances and unused financing sources are expected to provide the Company with the flexibility to meet its liquidity needs for the next 12 months and beyond, including its capital expenditure plan, planned dividends, share repurchases, potential future acquisitions and operating requirements. Capital expenditures for 2026 are expected to be approximately $100 million. The Company may make opportunistic share repurchases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Outlook</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Incoming order activity and end market demand trends support the Company's 2026 outlook of low single-digit sales growth on an organic constant-currency basis and mid-single-digit growth including the expected incremental sales from acquisitions. The Company estimates third quarter total company sales of $580 million to $600 million, excluding the impact of the Company's announced acquisition of Valco Melton, which is expected to close in the third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desires to take advantage of the “safe harbor” provisions regarding forward-looking statements of the Private Securities Litigation Reform Act of 1995 and is filing this Cautionary Statement in order to do so.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w:t>
      </w:r>
      <w:r>
        <w:rPr>
          <w:color w:val="000000"/>
        </w:rPr>
        <w:t xml:space="preserve"> </w:t>
      </w:r>
      <w:r>
        <w:rPr>
          <w:rFonts w:ascii="Arial;sans-serif" w:hAnsi="Arial;sans-serif"/>
          <w:b w:val="false"/>
          <w:color w:val="000000"/>
          <w:sz w:val="20"/>
        </w:rPr>
        <w:t>international and domestic</w:t>
      </w:r>
      <w:r>
        <w:rPr>
          <w:color w:val="000000"/>
        </w:rPr>
        <w:t xml:space="preserve"> </w:t>
      </w:r>
      <w:r>
        <w:rPr>
          <w:rFonts w:ascii="Arial;sans-serif" w:hAnsi="Arial;sans-serif"/>
          <w:b w:val="false"/>
          <w:color w:val="000000"/>
          <w:sz w:val="20"/>
        </w:rPr>
        <w:t xml:space="preserve">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 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Please refer to Item 1A of our 2025 Annual Report on Form 10-K and Item 1A of this Form 10-Q for a more comprehensive discussion of these and other risk factors. These reports are available on the Company’s website at </w:t>
      </w:r>
      <w:r>
        <w:rPr>
          <w:rFonts w:ascii="Arial;sans-serif" w:hAnsi="Arial;sans-serif"/>
          <w:b w:val="false"/>
          <w:color w:val="0424FF"/>
          <w:sz w:val="20"/>
          <w:u w:val="single"/>
        </w:rPr>
        <w:t>www.graco.com</w:t>
      </w:r>
      <w:r>
        <w:rPr>
          <w:color w:val="000000"/>
        </w:rPr>
        <w:t xml:space="preserve"> </w:t>
      </w:r>
      <w:r>
        <w:rPr>
          <w:rFonts w:ascii="Arial;sans-serif" w:hAnsi="Arial;sans-serif"/>
          <w:b w:val="false"/>
          <w:color w:val="000000"/>
          <w:sz w:val="20"/>
        </w:rPr>
        <w:t xml:space="preserve">and the Securities and Exchange Commission’s website at </w:t>
      </w:r>
      <w:r>
        <w:rPr>
          <w:rFonts w:ascii="Arial;sans-serif" w:hAnsi="Arial;sans-serif"/>
          <w:b w:val="false"/>
          <w:color w:val="0424FF"/>
          <w:sz w:val="20"/>
          <w:u w:val="single"/>
        </w:rPr>
        <w:t>www.sec.gov</w:t>
      </w:r>
      <w:r>
        <w:rPr>
          <w:rFonts w:ascii="Arial;sans-serif" w:hAnsi="Arial;sans-serif"/>
          <w:b w:val="false"/>
          <w:color w:val="000000"/>
          <w:sz w:val="20"/>
        </w:rPr>
        <w:t>. Shareholders, potential investors and other readers are urged to consider these factors in evaluating forward-looking statements and are cautioned not to place undue reliance on such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 should realize that factors other than those identified above and in Item 1A might prove important to the Company’s future results. It is not possible for management to identify each and every factor that may have an impact on the Company’s operations in the future as new factors can develop from time to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Item 3.</w:t>
      </w:r>
      <w:r>
        <w:rPr>
          <w:rFonts w:ascii="Arial;sans-serif" w:hAnsi="Arial;sans-serif"/>
          <w:b/>
          <w:color w:val="000000"/>
          <w:sz w:val="24"/>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related to market risk from the disclosures made in the 2025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Item 4.</w:t>
      </w:r>
      <w:r>
        <w:rPr>
          <w:rFonts w:ascii="Arial;sans-serif" w:hAnsi="Arial;sans-serif"/>
          <w:b/>
          <w:color w:val="000000"/>
          <w:sz w:val="24"/>
        </w:rPr>
        <w:t>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the end of the fiscal quarter covered by this report, the Company carried out an evaluation of the effectiveness of the design and operation of its disclosure controls and procedures. This evaluation was done under the supervision and with the participation of the Company’s President and Chief Executive Officer and the Chief Financial Officer and Treasurer. Based upon that evaluation, the Company’s President and Chief Executive Officer and the Chief Financial Officer and Treasurer concluded that the Company’s disclosure controls and procedures are effective.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Changes in internal controls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quarter, there was no change in the Company’s internal control over financial reporting that has materially affected or is reasonably likely to materially affect the Company’s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90"/>
        <w:jc w:val="left"/>
        <w:rPr>
          <w:rFonts w:ascii="Arial;sans-serif" w:hAnsi="Arial;sans-serif"/>
          <w:b/>
          <w:color w:val="000000"/>
          <w:sz w:val="24"/>
        </w:rPr>
      </w:pPr>
      <w:r>
        <w:rPr>
          <w:rFonts w:ascii="Arial;sans-serif" w:hAnsi="Arial;sans-serif"/>
          <w:b/>
          <w:color w:val="000000"/>
          <w:sz w:val="24"/>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Item 1A.</w:t>
      </w:r>
      <w:r>
        <w:rPr>
          <w:rFonts w:ascii="Arial;sans-serif" w:hAnsi="Arial;sans-serif"/>
          <w:b/>
          <w:color w:val="000000"/>
          <w:sz w:val="24"/>
        </w:rPr>
        <w:t>Risk Factors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to the Company’s risk factors from those disclosed in the Company’s 2025 Annual Report on Form 10-K.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000000"/>
          <w:sz w:val="24"/>
        </w:rPr>
        <w:t>Item 2.</w:t>
      </w:r>
      <w:r>
        <w:rPr>
          <w:rFonts w:ascii="Arial;sans-serif" w:hAnsi="Arial;sans-serif"/>
          <w:b/>
          <w:color w:val="000000"/>
          <w:sz w:val="24"/>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December 7, 2018, the Board of Directors authorized the purchase of up to 18 million shares of common stock, primarily through open market transactions. On December 5, 2025, the Board of Directors authorized the Company to purchase up to an additional 15 million shares of its outstanding stock, primarily through open-market transactions. The authorization is for an indefinite period of time or until terminated by the Board.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shares purchased under the Board authorization, the Company purchases shares of common stock held by employees who wish to tender owned shares to satisfy the exercise price or tax due upon exercise of options or vesting of restricted stock.</w:t>
      </w:r>
    </w:p>
    <w:p>
      <w:pPr>
        <w:pStyle w:val="TextBody"/>
        <w:bidi w:val="0"/>
        <w:spacing w:before="0" w:after="0"/>
        <w:jc w:val="left"/>
        <w:rPr/>
      </w:pPr>
      <w:r>
        <w:rPr/>
      </w:r>
    </w:p>
    <w:p>
      <w:pPr>
        <w:pStyle w:val="TextBody"/>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Information on issuer purchases of equity securities follows:</w:t>
      </w:r>
    </w:p>
    <w:tbl>
      <w:tblPr>
        <w:tblW w:w="10205" w:type="dxa"/>
        <w:jc w:val="center"/>
        <w:tblInd w:w="0" w:type="dxa"/>
        <w:tblLayout w:type="fixed"/>
        <w:tblCellMar>
          <w:top w:w="28" w:type="dxa"/>
          <w:left w:w="28" w:type="dxa"/>
          <w:bottom w:w="28" w:type="dxa"/>
          <w:right w:w="28" w:type="dxa"/>
        </w:tblCellMar>
      </w:tblPr>
      <w:tblGrid>
        <w:gridCol w:w="440"/>
        <w:gridCol w:w="386"/>
        <w:gridCol w:w="388"/>
        <w:gridCol w:w="109"/>
        <w:gridCol w:w="109"/>
        <w:gridCol w:w="109"/>
        <w:gridCol w:w="644"/>
        <w:gridCol w:w="443"/>
        <w:gridCol w:w="420"/>
        <w:gridCol w:w="109"/>
        <w:gridCol w:w="109"/>
        <w:gridCol w:w="109"/>
        <w:gridCol w:w="234"/>
        <w:gridCol w:w="717"/>
        <w:gridCol w:w="120"/>
        <w:gridCol w:w="109"/>
        <w:gridCol w:w="109"/>
        <w:gridCol w:w="109"/>
        <w:gridCol w:w="1121"/>
        <w:gridCol w:w="895"/>
        <w:gridCol w:w="897"/>
        <w:gridCol w:w="109"/>
        <w:gridCol w:w="109"/>
        <w:gridCol w:w="109"/>
        <w:gridCol w:w="924"/>
        <w:gridCol w:w="520"/>
        <w:gridCol w:w="748"/>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w:t>
              <w:br/>
              <w:t>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Maximum Number of Shares that May Yet Be</w:t>
              <w:br/>
              <w:t>Purchased Under the Plans or Programs</w:t>
              <w:br/>
              <w:t>(at end of period)</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28, 2026 - April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420,728 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420,728 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22,386,790 </w:t>
            </w:r>
          </w:p>
        </w:tc>
        <w:tc>
          <w:tcPr>
            <w:tcW w:w="74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25, 2026 - May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3,369,632 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3,369,632 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19,017,158 </w:t>
            </w:r>
          </w:p>
        </w:tc>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23, 2026 - June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223,269 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223,269 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18,793,889 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ind w:left="0" w:right="0" w:hanging="90"/>
        <w:jc w:val="left"/>
        <w:rPr/>
      </w:pPr>
      <w:r>
        <w:rPr/>
      </w:r>
    </w:p>
    <w:p>
      <w:pPr>
        <w:pStyle w:val="TextBody"/>
        <w:bidi w:val="0"/>
        <w:spacing w:before="0" w:after="1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000000"/>
          <w:sz w:val="24"/>
        </w:rPr>
        <w:t>Item 5.</w:t>
      </w:r>
      <w:r>
        <w:rPr>
          <w:rFonts w:ascii="Arial;sans-serif" w:hAnsi="Arial;sans-serif"/>
          <w:b/>
          <w:color w:val="000000"/>
          <w:sz w:val="24"/>
        </w:rPr>
        <w:t>Other Information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June 26,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left"/>
        <w:rPr/>
      </w:pPr>
      <w:r>
        <w:rPr>
          <w:rFonts w:ascii="Arial;sans-serif" w:hAnsi="Arial;sans-serif"/>
          <w:b/>
          <w:color w:val="000000"/>
          <w:sz w:val="24"/>
        </w:rPr>
        <w:t>Item 6.</w:t>
      </w:r>
      <w:r>
        <w:rPr>
          <w:rFonts w:ascii="Arial;sans-serif" w:hAnsi="Arial;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63"/>
        <w:gridCol w:w="233"/>
        <w:gridCol w:w="109"/>
        <w:gridCol w:w="109"/>
        <w:gridCol w:w="109"/>
        <w:gridCol w:w="109"/>
        <w:gridCol w:w="2715"/>
        <w:gridCol w:w="2708"/>
        <w:gridCol w:w="3850"/>
      </w:tblGrid>
      <w:tr>
        <w:trPr/>
        <w:tc>
          <w:tcPr>
            <w:tcW w:w="2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Restated Articles of Incorporation as amended December 8, 2017. (</w:t>
            </w:r>
            <w:hyperlink r:id="rId2">
              <w:r>
                <w:rPr>
                  <w:rStyle w:val="InternetLink"/>
                  <w:rFonts w:ascii="Arial;sans-serif" w:hAnsi="Arial;sans-serif"/>
                  <w:b w:val="false"/>
                  <w:color w:val="0000FF"/>
                  <w:sz w:val="20"/>
                  <w:u w:val="single"/>
                </w:rPr>
                <w:t>Incorporated by reference to Exhibit 3.1 to the Company's Report on Form 8-K filed December 8, 2017.</w:t>
              </w:r>
            </w:hyperlink>
            <w:r>
              <w:rPr>
                <w:rFonts w:ascii="Arial;sans-serif" w:hAnsi="Arial;sans-serif"/>
                <w:b w:val="false"/>
                <w:color w:val="000000"/>
                <w:sz w:val="20"/>
              </w:rPr>
              <w:t>)</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Restated Bylaws as amended February 17, 2023. </w:t>
            </w:r>
            <w:hyperlink r:id="rId3">
              <w:r>
                <w:rPr>
                  <w:rStyle w:val="InternetLink"/>
                  <w:rFonts w:ascii="Arial;sans-serif" w:hAnsi="Arial;sans-serif"/>
                  <w:b w:val="false"/>
                  <w:color w:val="0000FF"/>
                  <w:sz w:val="20"/>
                  <w:u w:val="single"/>
                </w:rPr>
                <w:t>(Incorporated by reference to Exhibit 3.2 to the Company’s 2024 Annual Report on Form 10-K.</w:t>
              </w:r>
            </w:hyperlink>
            <w:r>
              <w:rPr>
                <w:rFonts w:ascii="Arial;sans-serif" w:hAnsi="Arial;sans-serif"/>
                <w:b w:val="false"/>
                <w:color w:val="000000"/>
                <w:sz w:val="20"/>
              </w:rPr>
              <w:t>)</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Form of Executive Officer Restricted Stock Until Agreement. (</w:t>
            </w:r>
            <w:hyperlink r:id="rId4">
              <w:r>
                <w:rPr>
                  <w:rStyle w:val="InternetLink"/>
                  <w:rFonts w:ascii="Arial;sans-serif" w:hAnsi="Arial;sans-serif"/>
                  <w:b w:val="false"/>
                  <w:color w:val="0000FF"/>
                  <w:sz w:val="20"/>
                  <w:u w:val="single"/>
                </w:rPr>
                <w:t>Incorporated by reference to Exhibit 10.1 to the Company's Report on Form 8-K filed March 2, 2026</w:t>
              </w:r>
            </w:hyperlink>
            <w:r>
              <w:rPr>
                <w:rFonts w:ascii="Arial;sans-serif" w:hAnsi="Arial;sans-serif"/>
                <w:b w:val="false"/>
                <w:color w:val="000000"/>
                <w:sz w:val="20"/>
              </w:rPr>
              <w:t>.)</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2026q2ex311-quarteronly.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of President and Chief Executive Officer pursuant to Rule 13a-14(a).</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2026q2ex312-quarteronly.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of Chief Financial Officer and Treasurer pursuant to Rule 13a-14(a).</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2026q2ex32-quarteronly.htm">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of President and Chief Executive Officer and Chief Financial Officer and Treasurer pursuant to Section 1350 of Title 18, U.S.C.</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ggg07222026exhibit991q2.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Press Release Reporting Second Quarter Earnings dated July 22, 2026.</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Interactive data files pursuant to Rule 405 of Regulation S-T formatted in iXBRL (Inline eXtensible Business Reporting Language).</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iXBRL and contained in Exhibit 101).</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fd0605e929c04639968d3085479523c8_7">
        <w:r>
          <w:rPr>
            <w:rStyle w:val="InternetLink"/>
            <w:rFonts w:ascii="Arial;sans-serif" w:hAnsi="Arial;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GRACO INC.</w:t>
      </w:r>
    </w:p>
    <w:tbl>
      <w:tblPr>
        <w:tblW w:w="8180"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424"/>
        <w:gridCol w:w="424"/>
        <w:gridCol w:w="427"/>
        <w:gridCol w:w="109"/>
        <w:gridCol w:w="109"/>
        <w:gridCol w:w="109"/>
        <w:gridCol w:w="134"/>
        <w:gridCol w:w="134"/>
        <w:gridCol w:w="136"/>
        <w:gridCol w:w="109"/>
        <w:gridCol w:w="109"/>
        <w:gridCol w:w="109"/>
        <w:gridCol w:w="1443"/>
        <w:gridCol w:w="1443"/>
        <w:gridCol w:w="204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Christopher D. Knutson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Christopher D. Knutson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Controller and Chief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5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Exhibit 31.1</w:t>
            </w:r>
          </w:p>
        </w:tc>
      </w:tr>
    </w:tbl>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Mark W. Sheahan,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Graco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948"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424"/>
        <w:gridCol w:w="424"/>
        <w:gridCol w:w="427"/>
        <w:gridCol w:w="109"/>
        <w:gridCol w:w="109"/>
        <w:gridCol w:w="109"/>
        <w:gridCol w:w="1004"/>
        <w:gridCol w:w="1004"/>
        <w:gridCol w:w="142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5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Exhibit 31.2</w:t>
            </w:r>
          </w:p>
        </w:tc>
      </w:tr>
    </w:tbl>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CERTIFICATION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Sanjiv Gupta, certify that: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Graco Inc.;</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859"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424"/>
        <w:gridCol w:w="424"/>
        <w:gridCol w:w="427"/>
        <w:gridCol w:w="109"/>
        <w:gridCol w:w="109"/>
        <w:gridCol w:w="109"/>
        <w:gridCol w:w="980"/>
        <w:gridCol w:w="980"/>
        <w:gridCol w:w="138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34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99"/>
        <w:gridCol w:w="299"/>
        <w:gridCol w:w="4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Exhibit 32</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UNDER SECTION 1350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Section 1350 of Title 18 of the United States Code,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Graco Inc.</w:t>
      </w:r>
    </w:p>
    <w:p>
      <w:pPr>
        <w:pStyle w:val="TextBody"/>
        <w:bidi w:val="0"/>
        <w:spacing w:lineRule="auto" w:line="288" w:before="0" w:after="0"/>
        <w:jc w:val="left"/>
        <w:rPr>
          <w:color w:val="000000"/>
        </w:rPr>
      </w:pPr>
      <w:r>
        <w:rPr>
          <w:color w:val="000000"/>
        </w:rPr>
        <w:t> </w:t>
      </w:r>
    </w:p>
    <w:tbl>
      <w:tblPr>
        <w:tblW w:w="5948" w:type="dxa"/>
        <w:jc w:val="left"/>
        <w:tblInd w:w="0" w:type="dxa"/>
        <w:tblLayout w:type="fixed"/>
        <w:tblCellMar>
          <w:top w:w="28" w:type="dxa"/>
          <w:left w:w="28" w:type="dxa"/>
          <w:bottom w:w="28" w:type="dxa"/>
          <w:right w:w="28" w:type="dxa"/>
        </w:tblCellMar>
      </w:tblPr>
      <w:tblGrid>
        <w:gridCol w:w="211"/>
        <w:gridCol w:w="186"/>
        <w:gridCol w:w="188"/>
        <w:gridCol w:w="109"/>
        <w:gridCol w:w="109"/>
        <w:gridCol w:w="109"/>
        <w:gridCol w:w="424"/>
        <w:gridCol w:w="424"/>
        <w:gridCol w:w="427"/>
        <w:gridCol w:w="109"/>
        <w:gridCol w:w="109"/>
        <w:gridCol w:w="109"/>
        <w:gridCol w:w="1004"/>
        <w:gridCol w:w="1004"/>
        <w:gridCol w:w="142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W. Sheahan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Sanjiv Gupta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921" w:type="dxa"/>
        <w:jc w:val="center"/>
        <w:tblInd w:w="0" w:type="dxa"/>
        <w:tblLayout w:type="fixed"/>
        <w:tblCellMar>
          <w:top w:w="28" w:type="dxa"/>
          <w:left w:w="28" w:type="dxa"/>
          <w:bottom w:w="28" w:type="dxa"/>
          <w:right w:w="28" w:type="dxa"/>
        </w:tblCellMar>
      </w:tblPr>
      <w:tblGrid>
        <w:gridCol w:w="753"/>
        <w:gridCol w:w="661"/>
        <w:gridCol w:w="667"/>
        <w:gridCol w:w="314"/>
        <w:gridCol w:w="314"/>
        <w:gridCol w:w="314"/>
        <w:gridCol w:w="314"/>
        <w:gridCol w:w="314"/>
        <w:gridCol w:w="320"/>
        <w:gridCol w:w="519"/>
        <w:gridCol w:w="519"/>
        <w:gridCol w:w="521"/>
        <w:gridCol w:w="407"/>
        <w:gridCol w:w="407"/>
        <w:gridCol w:w="577"/>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99.1</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GRACO INC.</w:t>
            </w:r>
          </w:p>
        </w:tc>
        <w:tc>
          <w:tcPr>
            <w:tcW w:w="139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0100" cy="87630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5"/>
                          <a:stretch>
                            <a:fillRect/>
                          </a:stretch>
                        </pic:blipFill>
                        <pic:spPr bwMode="auto">
                          <a:xfrm>
                            <a:off x="0" y="0"/>
                            <a:ext cx="800100" cy="876300"/>
                          </a:xfrm>
                          <a:prstGeom prst="rect">
                            <a:avLst/>
                          </a:prstGeom>
                        </pic:spPr>
                      </pic:pic>
                    </a:graphicData>
                  </a:graphic>
                </wp:inline>
              </w:drawing>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P.O. Box 1441</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1" w:type="dxa"/>
            <w:gridSpan w:val="9"/>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49530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6"/>
                          <a:stretch>
                            <a:fillRect/>
                          </a:stretch>
                        </pic:blipFill>
                        <pic:spPr bwMode="auto">
                          <a:xfrm>
                            <a:off x="0" y="0"/>
                            <a:ext cx="2457450" cy="495300"/>
                          </a:xfrm>
                          <a:prstGeom prst="rect">
                            <a:avLst/>
                          </a:prstGeom>
                        </pic:spPr>
                      </pic:pic>
                    </a:graphicData>
                  </a:graphic>
                </wp:inline>
              </w:drawing>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Minneapolis, MN</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1" w:type="dxa"/>
            <w:gridSpan w:val="9"/>
            <w:vMerge w:val="continue"/>
            <w:tcBorders/>
            <w:tcMar>
              <w:top w:w="0" w:type="dxa"/>
              <w:left w:w="0" w:type="dxa"/>
              <w:bottom w:w="0" w:type="dxa"/>
              <w:right w:w="0" w:type="dxa"/>
            </w:tcMar>
            <w:vAlign w:val="center"/>
          </w:tcPr>
          <w:p>
            <w:pPr>
              <w:pStyle w:val="Normal"/>
              <w:bidi w:val="0"/>
              <w:jc w:val="left"/>
              <w:rPr/>
            </w:pPr>
            <w:r>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55440-1441</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71" w:type="dxa"/>
            <w:gridSpan w:val="9"/>
            <w:vMerge w:val="continue"/>
            <w:tcBorders/>
            <w:tcMar>
              <w:top w:w="0" w:type="dxa"/>
              <w:left w:w="0" w:type="dxa"/>
              <w:bottom w:w="0" w:type="dxa"/>
              <w:right w:w="0" w:type="dxa"/>
            </w:tcMar>
            <w:vAlign w:val="center"/>
          </w:tcPr>
          <w:p>
            <w:pPr>
              <w:pStyle w:val="Normal"/>
              <w:bidi w:val="0"/>
              <w:jc w:val="left"/>
              <w:rPr/>
            </w:pPr>
            <w:r>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NYSE: GGG</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7153" w:type="dxa"/>
        <w:jc w:val="center"/>
        <w:tblInd w:w="0" w:type="dxa"/>
        <w:tblLayout w:type="fixed"/>
        <w:tblCellMar>
          <w:top w:w="28" w:type="dxa"/>
          <w:left w:w="28" w:type="dxa"/>
          <w:bottom w:w="28" w:type="dxa"/>
          <w:right w:w="28" w:type="dxa"/>
        </w:tblCellMar>
      </w:tblPr>
      <w:tblGrid>
        <w:gridCol w:w="994"/>
        <w:gridCol w:w="874"/>
        <w:gridCol w:w="876"/>
        <w:gridCol w:w="1291"/>
        <w:gridCol w:w="1291"/>
        <w:gridCol w:w="182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IMMEDIATE RELEASE:</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FOR FURTHER INFORMATION:</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Wednesday, July 22, 2026</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Investors Contact: John M. Bower, 612-623-6770</w:t>
            </w:r>
          </w:p>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Media Contact: Kirstie L. Foster, 612-623-6249</w:t>
            </w:r>
          </w:p>
          <w:p>
            <w:pPr>
              <w:pStyle w:val="TableContents"/>
              <w:bidi w:val="0"/>
              <w:spacing w:lineRule="auto" w:line="240" w:before="0" w:after="0"/>
              <w:jc w:val="right"/>
              <w:rPr/>
            </w:pPr>
            <w:r>
              <w:rPr>
                <w:rFonts w:ascii="Arial;sans-serif" w:hAnsi="Arial;sans-serif"/>
                <w:b w:val="false"/>
                <w:color w:val="0000FF"/>
                <w:sz w:val="20"/>
                <w:u w:val="single"/>
              </w:rPr>
              <w:t>Kirstie_L_Foster@graco.com</w:t>
            </w:r>
            <w:r>
              <w:rPr>
                <w:color w:val="0000FF"/>
              </w:rPr>
              <w:t xml:space="preserv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Reports Record Second Quarter Sales and Operating Earnings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Growth in All Segments</w:t>
      </w:r>
    </w:p>
    <w:p>
      <w:pPr>
        <w:pStyle w:val="TextBody"/>
        <w:bidi w:val="0"/>
        <w:spacing w:lineRule="auto" w:line="288" w:before="0" w:after="0"/>
        <w:jc w:val="left"/>
        <w:rPr/>
      </w:pPr>
      <w:r>
        <w:rPr>
          <w:rFonts w:ascii="Arial;sans-serif" w:hAnsi="Arial;sans-serif"/>
          <w:b/>
          <w:color w:val="000000"/>
          <w:sz w:val="22"/>
        </w:rPr>
        <w:t xml:space="preserve">MINNEAPOLIS (July 22, 2026) </w:t>
      </w:r>
      <w:r>
        <w:rPr>
          <w:color w:val="000000"/>
        </w:rPr>
        <w:t xml:space="preserve">– </w:t>
      </w:r>
      <w:r>
        <w:rPr>
          <w:rFonts w:ascii="Arial;sans-serif" w:hAnsi="Arial;sans-serif"/>
          <w:b w:val="false"/>
          <w:color w:val="000000"/>
          <w:sz w:val="22"/>
        </w:rPr>
        <w:t xml:space="preserve">Graco Inc. </w:t>
      </w:r>
      <w:r>
        <w:rPr>
          <w:rFonts w:ascii="Arial;sans-serif" w:hAnsi="Arial;sans-serif"/>
          <w:b/>
          <w:color w:val="000000"/>
          <w:sz w:val="22"/>
        </w:rPr>
        <w:t>(NYSE: GGG)</w:t>
      </w:r>
      <w:r>
        <w:rPr>
          <w:color w:val="000000"/>
        </w:rPr>
        <w:t xml:space="preserve"> </w:t>
      </w:r>
      <w:r>
        <w:rPr>
          <w:rFonts w:ascii="Arial;sans-serif" w:hAnsi="Arial;sans-serif"/>
          <w:b w:val="false"/>
          <w:color w:val="000000"/>
          <w:sz w:val="22"/>
        </w:rPr>
        <w:t xml:space="preserve">today announced results for the second quarter ended June 26, 2026.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Summary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in millions except per share amounts</w:t>
      </w:r>
    </w:p>
    <w:tbl>
      <w:tblPr>
        <w:tblW w:w="10205" w:type="dxa"/>
        <w:jc w:val="left"/>
        <w:tblInd w:w="0" w:type="dxa"/>
        <w:tblLayout w:type="fixed"/>
        <w:tblCellMar>
          <w:top w:w="28" w:type="dxa"/>
          <w:left w:w="28" w:type="dxa"/>
          <w:bottom w:w="28" w:type="dxa"/>
          <w:right w:w="28" w:type="dxa"/>
        </w:tblCellMar>
      </w:tblPr>
      <w:tblGrid>
        <w:gridCol w:w="894"/>
        <w:gridCol w:w="608"/>
        <w:gridCol w:w="615"/>
        <w:gridCol w:w="226"/>
        <w:gridCol w:w="706"/>
        <w:gridCol w:w="109"/>
        <w:gridCol w:w="109"/>
        <w:gridCol w:w="109"/>
        <w:gridCol w:w="109"/>
        <w:gridCol w:w="226"/>
        <w:gridCol w:w="706"/>
        <w:gridCol w:w="109"/>
        <w:gridCol w:w="109"/>
        <w:gridCol w:w="109"/>
        <w:gridCol w:w="109"/>
        <w:gridCol w:w="203"/>
        <w:gridCol w:w="203"/>
        <w:gridCol w:w="545"/>
        <w:gridCol w:w="109"/>
        <w:gridCol w:w="109"/>
        <w:gridCol w:w="109"/>
        <w:gridCol w:w="226"/>
        <w:gridCol w:w="886"/>
        <w:gridCol w:w="109"/>
        <w:gridCol w:w="109"/>
        <w:gridCol w:w="109"/>
        <w:gridCol w:w="109"/>
        <w:gridCol w:w="226"/>
        <w:gridCol w:w="886"/>
        <w:gridCol w:w="109"/>
        <w:gridCol w:w="109"/>
        <w:gridCol w:w="109"/>
        <w:gridCol w:w="109"/>
        <w:gridCol w:w="170"/>
        <w:gridCol w:w="170"/>
        <w:gridCol w:w="638"/>
      </w:tblGrid>
      <w:tr>
        <w:trPr/>
        <w:tc>
          <w:tcPr>
            <w:tcW w:w="8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Six Months Ended</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
              <w:br/>
              <w:t> Change</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Net Earnings per Common Share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 xml:space="preserve">Adjusted (non-GAAP): </w:t>
            </w:r>
            <w:r>
              <w:rPr>
                <w:rFonts w:ascii="Arial;sans-serif" w:hAnsi="Arial;sans-serif"/>
                <w:b w:val="false"/>
                <w:color w:val="000000"/>
                <w:sz w:val="14"/>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 adjusted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adjusted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Net Earnings per Common Share, adjusted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2"/>
              </w:rPr>
              <w:t>%</w:t>
            </w:r>
          </w:p>
        </w:tc>
      </w:tr>
    </w:tbl>
    <w:p>
      <w:pPr>
        <w:pStyle w:val="TextBody"/>
        <w:bidi w:val="0"/>
        <w:spacing w:lineRule="auto" w:line="288" w:before="0" w:after="0"/>
        <w:jc w:val="left"/>
        <w:rPr/>
      </w:pPr>
      <w:r>
        <w:rPr>
          <w:rFonts w:ascii="Arial;sans-serif" w:hAnsi="Arial;sans-serif"/>
          <w:b w:val="false"/>
          <w:color w:val="000000"/>
          <w:sz w:val="18"/>
        </w:rPr>
        <w:t>(1)</w:t>
      </w:r>
      <w:r>
        <w:rPr>
          <w:color w:val="000000"/>
        </w:rPr>
        <w:t xml:space="preserve"> </w:t>
      </w:r>
      <w:r>
        <w:rPr>
          <w:rFonts w:ascii="Arial;sans-serif" w:hAnsi="Arial;sans-serif"/>
          <w:b w:val="false"/>
          <w:color w:val="000000"/>
          <w:sz w:val="18"/>
        </w:rPr>
        <w:t>Adjusted operating earnings, adjusted net earnings and adjusted diluted net earnings per common share reflect the Company's updated non-GAAP methodology. See Financial Results Adjusted for Comparability below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Net sales for the second quarter increased 3 percent, primarily driven by acquired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 xml:space="preserve">Operating earnings increased 11 percent for the second quarter, primarily due to a higher gross margin rate benefiting from the receipt of tariff refunds and lower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25"/>
        <w:jc w:val="left"/>
        <w:rPr/>
      </w:pPr>
      <w:r>
        <w:rPr>
          <w:color w:val="000000"/>
        </w:rPr>
        <w:t>•</w:t>
      </w:r>
      <w:r>
        <w:rPr>
          <w:rFonts w:ascii="Arial;sans-serif" w:hAnsi="Arial;sans-serif"/>
          <w:b w:val="false"/>
          <w:color w:val="000000"/>
          <w:sz w:val="22"/>
        </w:rPr>
        <w:t>Diluted net earnings per share increased 14 percent for the second quarter, reflecting higher operating earnings, lower exchange losses on net assets of foreign operations, and the impact of share repurchases. The Company repurchased $315 million of shares in the second quarter and repurchased $331 million of shares for the year to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color w:val="000000"/>
        </w:rPr>
      </w:pPr>
      <w:r>
        <w:rPr>
          <w:color w:val="000000"/>
        </w:rPr>
        <w:t>“</w:t>
      </w:r>
      <w:r>
        <w:rPr>
          <w:rFonts w:ascii="Arial;sans-serif" w:hAnsi="Arial;sans-serif"/>
          <w:b w:val="false"/>
          <w:color w:val="000000"/>
          <w:sz w:val="22"/>
        </w:rPr>
        <w:t>Graco delivered record quarterly sales and operating earnings in the second quarter, driven by momentum across all three segments,” said Mark Sheahan, President and Chief Executive Officer. “Contractor had organic sales growth in the Americas in both the professional paint and home center channels for the first time in two years, while investment in data center infrastructure continues to create opportunities across several areas of our portfolio.</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2 GRACO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Organic incoming orders increased at a mid-single-digit rate during the second quarter, with orders across all segments up low single digits year to date, reflecting continued improvement in demand trends across the business. Improving market conditions, growing project activity and commercial initiatives give us confidence in the second half of the year to maintain our guidance for low single-digit organic sales growth on a constant-currency basis and mid-single-digit sales growth including acquisitions. We are also initiating third-quarter total company sales guidance of $580 million to $600 million, excluding our announced acquisition of Valco Melton, which is expected to close in the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Consolidated and Segment Results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For a discussion of the Company's consolidated and segment results for the second quarter and year to date ended June 26, 2026, refer to Management's Discussion and Analysis of Financial Condition and Results of Operations in its most recent Quarterly Report on Form 10-Q dated July 22,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Financial Results Adjusted for Comparability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Beginning in the second quarter of 2026, the Company updated its non-GAAP adjusted measurements to exclude acquisition costs and amortization of acquired intangible assets. The Company excludes acquisition costs and amortization of acquired intangible assets to provide a consistent comparison of operating results across reporting periods. While the Company has a history of acquisition activity, the Company's acquisitions do not occur on a predictable cycle, and transactions vary in complexity, timing, size and nature. Acquisition costs include third-party legal, valuation, consulting and other incremental costs incurred in connection with acquisition activities as well as purchase accounting adjustments. Management uses these adjusted measures to evaluate operating performance and, for acquisition costs, in determining incentive compensation. These excluded items to the non-GAAP adjusted measurements provide supplemental information useful in evaluating the Company's underlying operating performance. Prior-period amounts have been recast to conform to the current presentation.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Excluding the impact of acquisition costs, amortization of acquired intangible assets, the related income tax effects of these items and excess tax benefits from stock option exercises presents a more consistent basis for comparison of financial results. A calculation of the non-GAAP adjusted measurements of operating earnings, earnings before income taxes, income taxes, effective income tax rate, net earnings and diluted earnings per share follows (in millions except per share amounts):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3 GRACO</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6"/>
        <w:gridCol w:w="1326"/>
        <w:gridCol w:w="1334"/>
        <w:gridCol w:w="226"/>
        <w:gridCol w:w="706"/>
        <w:gridCol w:w="301"/>
        <w:gridCol w:w="109"/>
        <w:gridCol w:w="109"/>
        <w:gridCol w:w="109"/>
        <w:gridCol w:w="226"/>
        <w:gridCol w:w="706"/>
        <w:gridCol w:w="301"/>
        <w:gridCol w:w="109"/>
        <w:gridCol w:w="109"/>
        <w:gridCol w:w="109"/>
        <w:gridCol w:w="226"/>
        <w:gridCol w:w="706"/>
        <w:gridCol w:w="301"/>
        <w:gridCol w:w="109"/>
        <w:gridCol w:w="109"/>
        <w:gridCol w:w="109"/>
        <w:gridCol w:w="226"/>
        <w:gridCol w:w="706"/>
        <w:gridCol w:w="347"/>
      </w:tblGrid>
      <w:tr>
        <w:trPr/>
        <w:tc>
          <w:tcPr>
            <w:tcW w:w="158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Six Months Ended</w:t>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 as reported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312.9 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301.5 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 adjusted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183.2 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329.3 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315.8 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Earnings before income taxes, as reported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309.7 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Earnings before income taxes, adjusted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189.6 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337.9 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324.0 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taxes, as reported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Tax impact of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Tax impact of 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Excess tax benefit from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taxes, adjusted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Effective income tax rate</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As reported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Adjusted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as reported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 costs,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acquired intangible assets,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Excess tax benefit from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adjusted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269.2 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258.0 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Diluted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Earnings per Share</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As reported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Adjusted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The Company desires to take advantage of the “safe harbor” provisions regarding forward-looking statements of the Private Securities Litigation Reform Act of 1995 and is filing this Cautionary Statement in order to do so. From time to time various forms filed by our Company with the Securities and Exchange Commission, including our Form 10-K, Form 10-Qs and Form 8-Ks, and other disclosures, including our 2025 Overview report, press releases, earnings releases, analyst briefings, conference calls and other written documents or oral statements released by our Company, may contain forward-looking statements. Forward-looking statements generally use words such as “expect,” “foresee,” “anticipate,” “believe,” “project,” “should,” “estimate,” “will,” and similar expressions, and reflect our Company’s expectations concerning the future. All forecasts and projections are forward-looking statements. Forward-looking statements are based upon currently available information, but various risks and uncertainties may cause our Company’s actual results to differ materially from those expressed in these statements. The Company undertakes no obligation to update these statements in light of new information or future events.</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4 GRACO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Future results could differ materially from those expressed, due to the impact of changes in various factors. These risk factors include, but are not limited to, risks relating to the demand for our products and the level of commercial, industrial and construction activity worldwide; changes in currency translation rates; international and domestic instability; interest rate fluctuations and changes in credit markets; global sourcing of materials; inflationary cost pressures and our ability to raise prices without decreasing demand for our products; interruptions of or intrusions into our information systems; intellectual property rights; the use of generative artificial intelligence and other emerging technologies; conducting business internationally; catastrophic events; our ability to attract, develop and retain qualified personnel; public health crises; our growth strategies and acquisitions; potential goodwill impairment; our ability to compete effectively; our dependence on a few large customers; our dependence on cyclical industries; changes in laws and regulations; climate-related laws, regulations and accords; environmental, social and governance-related expectations and requirements; compliance with anti-corruption and trade laws; changes in tax or tariff rates or the adoption of new tax or tariff legislation; and costs associated with legal proceedings. Please refer to Item 1A of our Annual Report on Form 10-K for fiscal year 2025 (and the most recent Form 10-Q) for a more comprehensive discussion of these and other risk factors. These reports are available on the Company’s website at </w:t>
      </w:r>
      <w:r>
        <w:rPr>
          <w:rFonts w:ascii="Arial;sans-serif" w:hAnsi="Arial;sans-serif"/>
          <w:b w:val="false"/>
          <w:color w:val="0424FF"/>
          <w:sz w:val="22"/>
          <w:u w:val="single"/>
        </w:rPr>
        <w:t>www.graco.com</w:t>
      </w:r>
      <w:r>
        <w:rPr>
          <w:color w:val="000000"/>
        </w:rPr>
        <w:t xml:space="preserve"> </w:t>
      </w:r>
      <w:r>
        <w:rPr>
          <w:rFonts w:ascii="Arial;sans-serif" w:hAnsi="Arial;sans-serif"/>
          <w:b w:val="false"/>
          <w:color w:val="000000"/>
          <w:sz w:val="22"/>
        </w:rPr>
        <w:t xml:space="preserve">and the Securities and Exchange Commission’s website at </w:t>
      </w:r>
      <w:r>
        <w:rPr>
          <w:rFonts w:ascii="Arial;sans-serif" w:hAnsi="Arial;sans-serif"/>
          <w:b w:val="false"/>
          <w:color w:val="0424FF"/>
          <w:sz w:val="22"/>
          <w:u w:val="single"/>
        </w:rPr>
        <w:t>www.sec.gov</w:t>
      </w:r>
      <w:r>
        <w:rPr>
          <w:rFonts w:ascii="Arial;sans-serif" w:hAnsi="Arial;sans-serif"/>
          <w:b w:val="false"/>
          <w:color w:val="000000"/>
          <w:sz w:val="22"/>
        </w:rPr>
        <w:t>. Shareholders, potential investors and other readers are urged to consider these factors in evaluating forward-looking statements and are cautioned not to place undue reliance on such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Investors should realize that factors other than those identified above and in Item 1A of our Annual Report on Form 10-K for fiscal year 2025 might prove important to the Company’s future results. It is not possible for management to identify each and every factor that may have an impact on the Company’s operations in the future as new factors can develop from time to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Conference Call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Graco management will hold a conference call, including slides via webcast, with analysts and institutional investors on Thursday, July 23, 2026, at 11 a.m. ET, 10 a.m. CT, to discuss Graco’s second quarter results.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A real-time listen-only webcast of the conference call will be broadcast by Nasdaq. Individuals can access the call and view the slides on the Company’s website at </w:t>
      </w:r>
      <w:r>
        <w:rPr>
          <w:rFonts w:ascii="Arial;sans-serif" w:hAnsi="Arial;sans-serif"/>
          <w:b w:val="false"/>
          <w:color w:val="0424FF"/>
          <w:sz w:val="22"/>
          <w:u w:val="single"/>
        </w:rPr>
        <w:t>www.graco.com</w:t>
      </w:r>
      <w:r>
        <w:rPr>
          <w:rFonts w:ascii="Arial;sans-serif" w:hAnsi="Arial;sans-serif"/>
          <w:b w:val="false"/>
          <w:color w:val="000000"/>
          <w:sz w:val="22"/>
        </w:rPr>
        <w:t>. Listeners should go to the website at least 15 minutes prior to the live conference call to install any necessary audio software.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Graco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Arial;sans-serif" w:hAnsi="Arial;sans-serif"/>
          <w:b w:val="false"/>
          <w:color w:val="0000FF"/>
          <w:sz w:val="22"/>
          <w:u w:val="single"/>
        </w:rPr>
        <w:t>www.graco.com</w:t>
      </w:r>
      <w:r>
        <w:rPr>
          <w:rFonts w:ascii="Arial;sans-serif" w:hAnsi="Arial;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Page 5 GRACO</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GRACO INC. AND SUBSIDIARIES</w:t>
      </w:r>
    </w:p>
    <w:p>
      <w:pPr>
        <w:pStyle w:val="TextBody"/>
        <w:bidi w:val="0"/>
        <w:spacing w:lineRule="auto" w:line="288" w:before="0" w:after="0"/>
        <w:jc w:val="center"/>
        <w:rPr/>
      </w:pPr>
      <w:r>
        <w:rPr>
          <w:rFonts w:ascii="Arial;sans-serif" w:hAnsi="Arial;sans-serif"/>
          <w:b/>
          <w:color w:val="000000"/>
          <w:sz w:val="24"/>
        </w:rPr>
        <w:t xml:space="preserve">CONSOLIDATED STATEMENTS OF EARNINGS </w:t>
      </w:r>
      <w:r>
        <w:rPr>
          <w:rFonts w:ascii="Arial;sans-serif" w:hAnsi="Arial;sans-serif"/>
          <w:b/>
          <w:color w:val="000000"/>
          <w:sz w:val="22"/>
        </w:rPr>
        <w:t>(Unaudited)</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1349"/>
        <w:gridCol w:w="1170"/>
        <w:gridCol w:w="1174"/>
        <w:gridCol w:w="226"/>
        <w:gridCol w:w="946"/>
        <w:gridCol w:w="109"/>
        <w:gridCol w:w="109"/>
        <w:gridCol w:w="109"/>
        <w:gridCol w:w="109"/>
        <w:gridCol w:w="226"/>
        <w:gridCol w:w="946"/>
        <w:gridCol w:w="109"/>
        <w:gridCol w:w="109"/>
        <w:gridCol w:w="109"/>
        <w:gridCol w:w="109"/>
        <w:gridCol w:w="226"/>
        <w:gridCol w:w="1126"/>
        <w:gridCol w:w="109"/>
        <w:gridCol w:w="109"/>
        <w:gridCol w:w="109"/>
        <w:gridCol w:w="109"/>
        <w:gridCol w:w="226"/>
        <w:gridCol w:w="1126"/>
        <w:gridCol w:w="156"/>
      </w:tblGrid>
      <w:tr>
        <w:trPr/>
        <w:tc>
          <w:tcPr>
            <w:tcW w:w="134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Six Months Ended</w:t>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571,806 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1,100,090 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products sold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522,827 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316,944 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597,585 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577,263 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Product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Selling, marketing and distribution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135,548 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301,497 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(income) expense,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Earnings Before Income Taxes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321,543 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309,682 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57,958 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251,724 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Earnings per Common Share</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Number of Shares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170,072 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4"/>
        </w:rPr>
        <w:t xml:space="preserve">SEGMENT INFORMATION </w:t>
      </w:r>
      <w:r>
        <w:rPr>
          <w:rFonts w:ascii="Arial;sans-serif" w:hAnsi="Arial;sans-serif"/>
          <w:b/>
          <w:color w:val="000000"/>
          <w:sz w:val="22"/>
        </w:rPr>
        <w:t>(Unaudited)</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(In thousands)</w:t>
      </w:r>
    </w:p>
    <w:tbl>
      <w:tblPr>
        <w:tblW w:w="9885" w:type="dxa"/>
        <w:jc w:val="center"/>
        <w:tblInd w:w="0" w:type="dxa"/>
        <w:tblLayout w:type="fixed"/>
        <w:tblCellMar>
          <w:top w:w="28" w:type="dxa"/>
          <w:left w:w="28" w:type="dxa"/>
          <w:bottom w:w="28" w:type="dxa"/>
          <w:right w:w="28" w:type="dxa"/>
        </w:tblCellMar>
      </w:tblPr>
      <w:tblGrid>
        <w:gridCol w:w="1222"/>
        <w:gridCol w:w="1071"/>
        <w:gridCol w:w="1082"/>
        <w:gridCol w:w="226"/>
        <w:gridCol w:w="946"/>
        <w:gridCol w:w="109"/>
        <w:gridCol w:w="109"/>
        <w:gridCol w:w="109"/>
        <w:gridCol w:w="109"/>
        <w:gridCol w:w="226"/>
        <w:gridCol w:w="946"/>
        <w:gridCol w:w="109"/>
        <w:gridCol w:w="109"/>
        <w:gridCol w:w="109"/>
        <w:gridCol w:w="109"/>
        <w:gridCol w:w="226"/>
        <w:gridCol w:w="1126"/>
        <w:gridCol w:w="109"/>
        <w:gridCol w:w="109"/>
        <w:gridCol w:w="109"/>
        <w:gridCol w:w="109"/>
        <w:gridCol w:w="226"/>
        <w:gridCol w:w="112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Six Months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Jun 27,</w:t>
              <w:b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Sales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Contractor</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Industrial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473,930 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Expansion Markets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571,806 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1,130,696 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1,100,090 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Earnings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Contractor</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Industrial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 xml:space="preserve">Expansion Markets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Unallocated corporate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2"/>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312,869 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301,497 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2888/000004288817000035/a31restatedarticlesofincor.htm" TargetMode="External"/><Relationship Id="rId3" Type="http://schemas.openxmlformats.org/officeDocument/2006/relationships/hyperlink" Target="https://www.sec.gov/Archives/edgar/data/42888/000004288825000011/ggg12272024exhibit32.htm" TargetMode="External"/><Relationship Id="rId4" Type="http://schemas.openxmlformats.org/officeDocument/2006/relationships/hyperlink" Target="https://www.sec.gov/Archives/edgar/data/42888/000119312526085816/d104194dex10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10619</Words>
  <Characters>58141</Characters>
  <CharactersWithSpaces>67232</CharactersWithSpaces>
  <Paragraphs>2877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