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Etchart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2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2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176.5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176.5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76.84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18,045.0293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shares were accrued under the Graco Inc. Amended and Restated 2019 Stock Incentive Plan and are to be settled 100% in Graco common stock in a lump sum or installments upon reporting person's termination of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Graco Inc. deferred stock received in lieu of quarterly retainer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number of deferred stock shares includes deferred stock shares acquired under the Graco Inc. Automatic Dividend Reinvestment Plan (DRIP),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Humke, attorney-in-fact for Mr. Etchart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8352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3514</Characters>
  <CharactersWithSpaces>4092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