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Wheeler Kevin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 11TH AVENUE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GGG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131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Shares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336.74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336.74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76.84</w:t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8,703.7143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deferred stock shares were accrued under the Graco Inc. Amended and Restated 2019 Stock Incentive Plan and are to be settled 100% in Graco common stock in a lump sum or installments upon reporting person's termination of service on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of Graco Inc. deferred stock received in lieu of quarterly retainer fees.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number of deferred stock shares includes deferred stock shares acquired under the Graco Inc. Automatic Dividend Reinvestment Plan (DRIP), exempt under Rule 16a-11.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J. Humke, attorney-in-fact for Mr. Wheeler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6416" TargetMode="External"/><Relationship Id="rId5" Type="http://schemas.openxmlformats.org/officeDocument/2006/relationships/hyperlink" Target="http://www.sec.gov/cgi-bin/browse-edgar?action=getcompany&amp;CIK=00000428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651</Words>
  <Characters>3518</Characters>
  <CharactersWithSpaces>4097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